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both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</w:r>
      <w:r>
        <w:rPr>
          <w:sz w:val="2"/>
          <w:szCs w:val="2"/>
          <w:lang w:val="en-US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72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720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720"/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720"/>
        <w:jc w:val="right"/>
        <w:shd w:val="clear" w:color="auto" w:fill="ffffff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Проект</w:t>
      </w:r>
      <w:r>
        <w:rPr>
          <w:color w:val="000000"/>
          <w:spacing w:val="-3"/>
          <w:sz w:val="28"/>
          <w:szCs w:val="28"/>
        </w:rPr>
      </w:r>
    </w:p>
    <w:p>
      <w:pPr>
        <w:ind w:left="6663"/>
        <w:jc w:val="right"/>
        <w:shd w:val="clear" w:color="auto" w:fill="ffffff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</w:r>
      <w:r>
        <w:rPr>
          <w:color w:val="000000"/>
          <w:spacing w:val="-2"/>
          <w:sz w:val="28"/>
          <w:szCs w:val="28"/>
        </w:rPr>
      </w:r>
    </w:p>
    <w:p>
      <w:pPr>
        <w:ind w:left="6663"/>
        <w:jc w:val="right"/>
        <w:shd w:val="clear" w:color="auto" w:fill="ffffff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Вносится Правительством</w:t>
      </w:r>
      <w:r>
        <w:rPr>
          <w:color w:val="000000"/>
          <w:spacing w:val="-2"/>
          <w:sz w:val="28"/>
          <w:szCs w:val="28"/>
        </w:rPr>
      </w:r>
    </w:p>
    <w:p>
      <w:pPr>
        <w:ind w:left="6663"/>
        <w:jc w:val="right"/>
        <w:shd w:val="clear" w:color="auto" w:fill="ffffff"/>
      </w:pPr>
      <w:r>
        <w:rPr>
          <w:color w:val="000000"/>
          <w:sz w:val="28"/>
          <w:szCs w:val="28"/>
        </w:rPr>
        <w:t xml:space="preserve">Российской Федерации</w:t>
      </w:r>
      <w:r/>
    </w:p>
    <w:p>
      <w:pPr>
        <w:ind w:firstLine="720"/>
        <w:jc w:val="both"/>
        <w:shd w:val="clear" w:color="auto" w:fill="ffffff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</w:r>
      <w:r>
        <w:rPr>
          <w:color w:val="000000"/>
          <w:spacing w:val="-3"/>
          <w:sz w:val="28"/>
          <w:szCs w:val="28"/>
        </w:rPr>
      </w:r>
    </w:p>
    <w:p>
      <w:pPr>
        <w:ind w:firstLine="720"/>
        <w:jc w:val="both"/>
        <w:shd w:val="clear" w:color="auto" w:fill="ffffff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</w:r>
      <w:r>
        <w:rPr>
          <w:color w:val="000000"/>
          <w:spacing w:val="-3"/>
          <w:sz w:val="28"/>
          <w:szCs w:val="28"/>
        </w:rPr>
      </w:r>
    </w:p>
    <w:p>
      <w:pPr>
        <w:ind w:firstLine="720"/>
        <w:jc w:val="both"/>
        <w:shd w:val="clear" w:color="auto" w:fill="ffffff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</w:r>
      <w:r>
        <w:rPr>
          <w:color w:val="000000"/>
          <w:spacing w:val="-3"/>
          <w:sz w:val="28"/>
          <w:szCs w:val="28"/>
        </w:rPr>
      </w:r>
    </w:p>
    <w:p>
      <w:pPr>
        <w:ind w:firstLine="720"/>
        <w:jc w:val="both"/>
        <w:shd w:val="clear" w:color="auto" w:fill="ffffff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</w:r>
      <w:r>
        <w:rPr>
          <w:color w:val="000000"/>
          <w:spacing w:val="-3"/>
          <w:sz w:val="28"/>
          <w:szCs w:val="28"/>
        </w:rPr>
      </w:r>
    </w:p>
    <w:p>
      <w:pPr>
        <w:ind w:firstLine="720"/>
        <w:jc w:val="both"/>
        <w:shd w:val="clear" w:color="auto" w:fill="ffffff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</w:r>
      <w:r>
        <w:rPr>
          <w:color w:val="000000"/>
          <w:spacing w:val="-3"/>
          <w:sz w:val="28"/>
          <w:szCs w:val="28"/>
        </w:rPr>
      </w:r>
    </w:p>
    <w:p>
      <w:pPr>
        <w:jc w:val="center"/>
        <w:shd w:val="clear" w:color="auto" w:fill="ffffff"/>
        <w:rPr>
          <w:b/>
          <w:color w:val="000000"/>
          <w:sz w:val="34"/>
          <w:szCs w:val="34"/>
        </w:rPr>
      </w:pPr>
      <w:r>
        <w:rPr>
          <w:b/>
          <w:color w:val="000000"/>
          <w:sz w:val="34"/>
          <w:szCs w:val="34"/>
        </w:rPr>
      </w:r>
      <w:r>
        <w:rPr>
          <w:b/>
          <w:color w:val="000000"/>
          <w:sz w:val="34"/>
          <w:szCs w:val="34"/>
        </w:rPr>
      </w:r>
    </w:p>
    <w:p>
      <w:pPr>
        <w:jc w:val="center"/>
        <w:shd w:val="clear" w:color="auto" w:fill="ffffff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ФЕДЕРАЛЬНЫЙ ЗАКОН</w:t>
      </w:r>
      <w:r>
        <w:rPr>
          <w:b/>
          <w:color w:val="000000"/>
          <w:sz w:val="44"/>
          <w:szCs w:val="44"/>
        </w:rPr>
      </w:r>
    </w:p>
    <w:p>
      <w:pPr>
        <w:jc w:val="center"/>
        <w:shd w:val="clear" w:color="auto" w:fill="ffffff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</w:r>
      <w:r>
        <w:rPr>
          <w:b/>
          <w:color w:val="000000"/>
          <w:sz w:val="30"/>
          <w:szCs w:val="30"/>
        </w:rPr>
      </w:r>
    </w:p>
    <w:p>
      <w:pPr>
        <w:jc w:val="center"/>
        <w:shd w:val="clear" w:color="auto" w:fill="ffffff"/>
        <w:rPr>
          <w:b/>
          <w:bCs/>
          <w:color w:val="000000"/>
          <w:spacing w:val="-1"/>
          <w:sz w:val="30"/>
          <w:szCs w:val="30"/>
        </w:rPr>
      </w:pPr>
      <w:r>
        <w:rPr>
          <w:b/>
          <w:bCs/>
          <w:color w:val="000000"/>
          <w:spacing w:val="-1"/>
          <w:sz w:val="30"/>
          <w:szCs w:val="30"/>
        </w:rPr>
        <w:t xml:space="preserve">О внесении изменений в Федеральный закон </w:t>
      </w:r>
      <w:r>
        <w:rPr>
          <w:b/>
          <w:bCs/>
          <w:color w:val="000000"/>
          <w:spacing w:val="-1"/>
          <w:sz w:val="30"/>
          <w:szCs w:val="30"/>
        </w:rPr>
        <w:br/>
      </w:r>
      <w:r>
        <w:rPr>
          <w:b/>
          <w:bCs/>
          <w:color w:val="000000"/>
          <w:spacing w:val="-1"/>
          <w:sz w:val="30"/>
          <w:szCs w:val="30"/>
        </w:rPr>
        <w:t xml:space="preserve">«Об обеспечении </w:t>
      </w:r>
      <w:r>
        <w:rPr>
          <w:b/>
          <w:bCs/>
          <w:color w:val="000000"/>
          <w:spacing w:val="-1"/>
          <w:sz w:val="30"/>
          <w:szCs w:val="30"/>
        </w:rPr>
        <w:t xml:space="preserve">единства измерений»</w:t>
      </w:r>
      <w:r>
        <w:rPr>
          <w:b/>
          <w:bCs/>
          <w:color w:val="000000"/>
          <w:spacing w:val="-1"/>
          <w:sz w:val="30"/>
          <w:szCs w:val="30"/>
        </w:rPr>
      </w:r>
    </w:p>
    <w:p>
      <w:pPr>
        <w:jc w:val="center"/>
        <w:shd w:val="clear" w:color="auto" w:fill="ffffff"/>
      </w:pPr>
      <w:r/>
      <w:r/>
    </w:p>
    <w:p>
      <w:pPr>
        <w:ind w:firstLine="720"/>
        <w:jc w:val="both"/>
        <w:spacing w:line="360" w:lineRule="auto"/>
        <w:shd w:val="clear" w:color="auto" w:fill="ffffff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</w:r>
      <w:r>
        <w:rPr>
          <w:b/>
          <w:bCs/>
          <w:color w:val="000000"/>
          <w:spacing w:val="-6"/>
          <w:sz w:val="28"/>
          <w:szCs w:val="28"/>
        </w:rPr>
      </w:r>
    </w:p>
    <w:p>
      <w:pPr>
        <w:ind w:firstLine="720"/>
        <w:jc w:val="both"/>
        <w:spacing w:line="360" w:lineRule="auto"/>
        <w:shd w:val="clear" w:color="auto" w:fill="ffffff"/>
      </w:pPr>
      <w:r>
        <w:rPr>
          <w:b/>
          <w:bCs/>
          <w:spacing w:val="-6"/>
          <w:sz w:val="28"/>
          <w:szCs w:val="28"/>
        </w:rPr>
        <w:t xml:space="preserve">Статья 1</w:t>
      </w:r>
      <w:r/>
    </w:p>
    <w:p>
      <w:pPr>
        <w:ind w:firstLine="720"/>
        <w:jc w:val="both"/>
        <w:spacing w:line="360" w:lineRule="auto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Внести в Федеральный закон от 26 июня 2008 года № 102-ФЗ «Об обеспечении единства измерений» (Собрание законодательства Российской Федерации, 2008, 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№ 26, ст. 3021; 2012, № 31, ст. 4322; 2014, </w:t>
      </w:r>
      <w:r>
        <w:rPr>
          <w:color w:val="000000"/>
          <w:sz w:val="28"/>
          <w:szCs w:val="28"/>
          <w:shd w:val="clear" w:color="auto" w:fill="ffffff"/>
        </w:rPr>
        <w:t xml:space="preserve">№</w:t>
      </w:r>
      <w:r>
        <w:rPr>
          <w:color w:val="000000"/>
          <w:sz w:val="28"/>
          <w:szCs w:val="28"/>
          <w:shd w:val="clear" w:color="auto" w:fill="ffffff"/>
        </w:rPr>
        <w:t xml:space="preserve"> 26, ст. 3366</w:t>
      </w:r>
      <w:r>
        <w:rPr>
          <w:color w:val="000000"/>
          <w:sz w:val="28"/>
          <w:szCs w:val="28"/>
          <w:shd w:val="clear" w:color="auto" w:fill="ffffff"/>
        </w:rPr>
        <w:t xml:space="preserve">; </w:t>
      </w:r>
      <w:r>
        <w:rPr>
          <w:color w:val="000000"/>
          <w:sz w:val="28"/>
          <w:szCs w:val="28"/>
          <w:shd w:val="clear" w:color="auto" w:fill="ffffff"/>
        </w:rPr>
        <w:t xml:space="preserve">№ 30, ст. 4255; 2019,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№ 52, ст. 7814; 2020, № 44, ст. 6890; 2024, № 8, ст. 1045) следующие изменения:</w:t>
      </w:r>
      <w:r>
        <w:rPr>
          <w:color w:val="000000"/>
          <w:sz w:val="28"/>
          <w:szCs w:val="28"/>
          <w:shd w:val="clear" w:color="auto" w:fill="ffffff"/>
        </w:rPr>
      </w:r>
    </w:p>
    <w:p>
      <w:pPr>
        <w:ind w:firstLine="720"/>
        <w:jc w:val="both"/>
        <w:spacing w:line="360" w:lineRule="auto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1) </w:t>
      </w:r>
      <w:r>
        <w:rPr>
          <w:color w:val="000000"/>
          <w:sz w:val="28"/>
          <w:szCs w:val="28"/>
          <w:shd w:val="clear" w:color="auto" w:fill="ffffff"/>
        </w:rPr>
        <w:t xml:space="preserve">часть 2 статьи 5 изложить в следующей редакции: </w:t>
      </w:r>
      <w:r>
        <w:rPr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«2. </w:t>
      </w:r>
      <w:r>
        <w:rPr>
          <w:color w:val="000000"/>
          <w:sz w:val="28"/>
          <w:szCs w:val="28"/>
          <w:shd w:val="clear" w:color="auto" w:fill="ffffff"/>
        </w:rPr>
        <w:t xml:space="preserve">Методики (методы) измерений, предназначенные для выполнения прямых измерений, вносятся в эксплуатационную документацию на средства измерений 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и аттестации не подлежат. Подтверждение соот</w:t>
      </w:r>
      <w:r>
        <w:rPr>
          <w:color w:val="000000"/>
          <w:sz w:val="28"/>
          <w:szCs w:val="28"/>
          <w:shd w:val="clear" w:color="auto" w:fill="ffffff"/>
        </w:rPr>
        <w:t xml:space="preserve">ветствия этих методик (методов) измерений метрологическим требованиям к измерениям осуществляется в процессе утверждения типов данных средств измерений. В остальных случаях подтверждение соответствия методик (методов) измерений метрологическим требованиям 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к измерениям осуществляется путем аттестации методик (методов) измерений. Сведения об аттестованных методиках (методах) измерений, применяемых в сфере государственного регулирования обеспечения единства измерений, </w:t>
      </w:r>
      <w:r>
        <w:rPr>
          <w:color w:val="000000"/>
          <w:sz w:val="28"/>
          <w:szCs w:val="28"/>
          <w:shd w:val="clear" w:color="auto" w:fill="ffffff"/>
        </w:rPr>
        <w:t xml:space="preserve">передаются </w:t>
      </w:r>
      <w:r>
        <w:rPr>
          <w:color w:val="000000"/>
          <w:sz w:val="28"/>
          <w:szCs w:val="28"/>
          <w:shd w:val="clear" w:color="auto" w:fill="ffffff"/>
        </w:rPr>
        <w:t xml:space="preserve">проводящими аттестацию юридическими лицами и индивидуальными предпринимателями </w:t>
      </w:r>
      <w:r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 xml:space="preserve">государственны</w:t>
      </w:r>
      <w:r>
        <w:rPr>
          <w:color w:val="000000"/>
          <w:sz w:val="28"/>
          <w:szCs w:val="28"/>
          <w:shd w:val="clear" w:color="auto" w:fill="ffffff"/>
        </w:rPr>
        <w:t xml:space="preserve">й</w:t>
      </w:r>
      <w:r>
        <w:rPr>
          <w:color w:val="000000"/>
          <w:sz w:val="28"/>
          <w:szCs w:val="28"/>
          <w:shd w:val="clear" w:color="auto" w:fill="ffffff"/>
        </w:rPr>
        <w:t xml:space="preserve"> научны</w:t>
      </w:r>
      <w:r>
        <w:rPr>
          <w:color w:val="000000"/>
          <w:sz w:val="28"/>
          <w:szCs w:val="28"/>
          <w:shd w:val="clear" w:color="auto" w:fill="ffffff"/>
        </w:rPr>
        <w:t xml:space="preserve">й</w:t>
      </w:r>
      <w:r>
        <w:rPr>
          <w:color w:val="000000"/>
          <w:sz w:val="28"/>
          <w:szCs w:val="28"/>
          <w:shd w:val="clear" w:color="auto" w:fill="ffffff"/>
        </w:rPr>
        <w:t xml:space="preserve"> метрологически</w:t>
      </w:r>
      <w:r>
        <w:rPr>
          <w:color w:val="000000"/>
          <w:sz w:val="28"/>
          <w:szCs w:val="28"/>
          <w:shd w:val="clear" w:color="auto" w:fill="ffffff"/>
        </w:rPr>
        <w:t xml:space="preserve">й институт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на который</w:t>
      </w:r>
      <w:r>
        <w:rPr>
          <w:color w:val="000000"/>
          <w:sz w:val="28"/>
          <w:szCs w:val="28"/>
          <w:shd w:val="clear" w:color="auto" w:fill="ffffff"/>
        </w:rPr>
        <w:t xml:space="preserve"> в соответствии с </w:t>
      </w:r>
      <w:r>
        <w:rPr>
          <w:color w:val="000000"/>
          <w:sz w:val="28"/>
          <w:szCs w:val="28"/>
          <w:shd w:val="clear" w:color="auto" w:fill="ffffff"/>
        </w:rPr>
        <w:t xml:space="preserve">част</w:t>
      </w:r>
      <w:r>
        <w:rPr>
          <w:color w:val="000000"/>
          <w:sz w:val="28"/>
          <w:szCs w:val="28"/>
          <w:shd w:val="clear" w:color="auto" w:fill="ffffff"/>
        </w:rPr>
        <w:t xml:space="preserve">ью 1</w:t>
      </w:r>
      <w:r>
        <w:rPr>
          <w:color w:val="000000"/>
          <w:sz w:val="28"/>
          <w:szCs w:val="28"/>
          <w:shd w:val="clear" w:color="auto" w:fill="ffffff"/>
        </w:rPr>
        <w:t xml:space="preserve"> статьи 2</w:t>
      </w:r>
      <w:r>
        <w:rPr>
          <w:color w:val="000000"/>
          <w:sz w:val="28"/>
          <w:szCs w:val="28"/>
          <w:shd w:val="clear" w:color="auto" w:fill="ffffff"/>
        </w:rPr>
        <w:t xml:space="preserve">0</w:t>
      </w:r>
      <w:r>
        <w:rPr>
          <w:color w:val="000000"/>
          <w:sz w:val="28"/>
          <w:szCs w:val="28"/>
          <w:shd w:val="clear" w:color="auto" w:fill="ffffff"/>
        </w:rPr>
        <w:t xml:space="preserve"> настоящего Федерального закона </w:t>
      </w:r>
      <w:r>
        <w:rPr>
          <w:color w:val="000000"/>
          <w:sz w:val="28"/>
          <w:szCs w:val="28"/>
          <w:shd w:val="clear" w:color="auto" w:fill="ffffff"/>
        </w:rPr>
        <w:t xml:space="preserve">возложены полномочия по ведению Федерального информационного фонда 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по обеспечению единства измерений</w:t>
      </w:r>
      <w:r>
        <w:rPr>
          <w:color w:val="000000"/>
          <w:sz w:val="28"/>
          <w:szCs w:val="28"/>
          <w:shd w:val="clear" w:color="auto" w:fill="ffffff"/>
        </w:rPr>
        <w:t xml:space="preserve">, в целях их внесения </w:t>
      </w:r>
      <w:r>
        <w:rPr>
          <w:color w:val="000000"/>
          <w:sz w:val="28"/>
          <w:szCs w:val="28"/>
          <w:shd w:val="clear" w:color="auto" w:fill="ffffff"/>
        </w:rPr>
        <w:t xml:space="preserve">в Федеральный информационный фонд по обеспечению единства измерений </w:t>
      </w:r>
      <w:r>
        <w:rPr>
          <w:color w:val="000000"/>
          <w:sz w:val="28"/>
          <w:szCs w:val="28"/>
          <w:shd w:val="clear" w:color="auto" w:fill="ffffff"/>
        </w:rPr>
        <w:t xml:space="preserve">за плату, взимаемую 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в соответствии с частью 1</w:t>
      </w:r>
      <w:r>
        <w:rPr>
          <w:color w:val="000000"/>
          <w:sz w:val="28"/>
          <w:szCs w:val="28"/>
          <w:shd w:val="clear" w:color="auto" w:fill="ffffff"/>
          <w:vertAlign w:val="superscript"/>
        </w:rPr>
        <w:t xml:space="preserve">1</w:t>
      </w:r>
      <w:r>
        <w:rPr>
          <w:color w:val="000000"/>
          <w:sz w:val="28"/>
          <w:szCs w:val="28"/>
          <w:shd w:val="clear" w:color="auto" w:fill="ffffff"/>
        </w:rPr>
        <w:t xml:space="preserve"> статьи 20 настоящего Федерального закона</w:t>
      </w:r>
      <w:r>
        <w:rPr>
          <w:color w:val="000000"/>
          <w:sz w:val="28"/>
          <w:szCs w:val="28"/>
          <w:shd w:val="clear" w:color="auto" w:fill="ffffff"/>
        </w:rPr>
        <w:t xml:space="preserve">. Состав сведений об аттестованных методиках (методах) измерений</w:t>
      </w:r>
      <w:r>
        <w:rPr>
          <w:color w:val="000000"/>
          <w:sz w:val="28"/>
          <w:szCs w:val="28"/>
          <w:shd w:val="clear" w:color="auto" w:fill="ffffff"/>
        </w:rPr>
        <w:t xml:space="preserve">,</w:t>
      </w:r>
      <w:r>
        <w:rPr>
          <w:color w:val="000000"/>
          <w:sz w:val="28"/>
          <w:szCs w:val="28"/>
          <w:shd w:val="clear" w:color="auto" w:fill="ffffff"/>
        </w:rPr>
        <w:t xml:space="preserve"> порядок передачи указанных сведений </w:t>
      </w:r>
      <w:r>
        <w:rPr>
          <w:color w:val="000000"/>
          <w:sz w:val="28"/>
          <w:szCs w:val="28"/>
          <w:shd w:val="clear" w:color="auto" w:fill="ffffff"/>
        </w:rPr>
        <w:t xml:space="preserve">и включения их </w:t>
      </w:r>
      <w:r>
        <w:rPr>
          <w:color w:val="000000"/>
          <w:sz w:val="28"/>
          <w:szCs w:val="28"/>
          <w:shd w:val="clear" w:color="auto" w:fill="ffffff"/>
        </w:rPr>
        <w:t xml:space="preserve">в Федеральный информационный фонд 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по обеспечению единства измерений определяются в порядке, предусмотренном частью 3 статьи 20 настоящего Федерального закона.</w:t>
      </w:r>
      <w:r>
        <w:rPr>
          <w:color w:val="000000"/>
          <w:sz w:val="28"/>
          <w:szCs w:val="28"/>
          <w:shd w:val="clear" w:color="auto" w:fill="ffffff"/>
        </w:rPr>
        <w:t xml:space="preserve">»;</w:t>
      </w:r>
      <w:r>
        <w:rPr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2) </w:t>
      </w:r>
      <w:r>
        <w:rPr>
          <w:color w:val="000000"/>
          <w:sz w:val="28"/>
          <w:szCs w:val="28"/>
          <w:shd w:val="clear" w:color="auto" w:fill="ffffff"/>
        </w:rPr>
        <w:t xml:space="preserve">часть 6 статьи 13 изложить в следующей редакции:</w:t>
      </w:r>
      <w:r>
        <w:rPr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«</w:t>
      </w:r>
      <w:r>
        <w:rPr>
          <w:color w:val="000000"/>
          <w:sz w:val="28"/>
          <w:szCs w:val="28"/>
          <w:shd w:val="clear" w:color="auto" w:fill="ffffff"/>
        </w:rPr>
        <w:t xml:space="preserve">6. </w:t>
      </w:r>
      <w:r>
        <w:rPr>
          <w:color w:val="000000"/>
          <w:sz w:val="28"/>
          <w:szCs w:val="28"/>
          <w:shd w:val="clear" w:color="auto" w:fill="ffffff"/>
        </w:rPr>
        <w:t xml:space="preserve">Сведения о результатах поверки средств измерений </w:t>
      </w:r>
      <w:r>
        <w:rPr>
          <w:color w:val="000000"/>
          <w:sz w:val="28"/>
          <w:szCs w:val="28"/>
          <w:shd w:val="clear" w:color="auto" w:fill="ffffff"/>
        </w:rPr>
        <w:t xml:space="preserve">передаются проводящими поверку средств измерений юридическими лицами 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и индивидуальными предпринимателями в государственный научный метрологический институт</w:t>
      </w:r>
      <w:r>
        <w:rPr>
          <w:color w:val="000000"/>
          <w:sz w:val="28"/>
          <w:szCs w:val="28"/>
          <w:shd w:val="clear" w:color="auto" w:fill="ffffff"/>
        </w:rPr>
        <w:t xml:space="preserve">, на который</w:t>
      </w:r>
      <w:r>
        <w:rPr>
          <w:color w:val="000000"/>
          <w:sz w:val="28"/>
          <w:szCs w:val="28"/>
          <w:shd w:val="clear" w:color="auto" w:fill="ffffff"/>
        </w:rPr>
        <w:t xml:space="preserve"> в соответствии с </w:t>
      </w:r>
      <w:r>
        <w:rPr>
          <w:color w:val="000000"/>
          <w:sz w:val="28"/>
          <w:szCs w:val="28"/>
          <w:shd w:val="clear" w:color="auto" w:fill="ffffff"/>
        </w:rPr>
        <w:t xml:space="preserve">част</w:t>
      </w:r>
      <w:r>
        <w:rPr>
          <w:color w:val="000000"/>
          <w:sz w:val="28"/>
          <w:szCs w:val="28"/>
          <w:shd w:val="clear" w:color="auto" w:fill="ffffff"/>
        </w:rPr>
        <w:t xml:space="preserve">ью 1</w:t>
      </w:r>
      <w:r>
        <w:rPr>
          <w:color w:val="000000"/>
          <w:sz w:val="28"/>
          <w:szCs w:val="28"/>
          <w:shd w:val="clear" w:color="auto" w:fill="ffffff"/>
        </w:rPr>
        <w:t xml:space="preserve"> статьи 2</w:t>
      </w:r>
      <w:r>
        <w:rPr>
          <w:color w:val="000000"/>
          <w:sz w:val="28"/>
          <w:szCs w:val="28"/>
          <w:shd w:val="clear" w:color="auto" w:fill="ffffff"/>
        </w:rPr>
        <w:t xml:space="preserve">0</w:t>
      </w:r>
      <w:r>
        <w:rPr>
          <w:color w:val="000000"/>
          <w:sz w:val="28"/>
          <w:szCs w:val="28"/>
          <w:shd w:val="clear" w:color="auto" w:fill="ffffff"/>
        </w:rPr>
        <w:t xml:space="preserve"> настоящего Федерального закона возложены полномочия по ведению Федерального информационного фонда по обеспечению единства измерений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в целях их внесения 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в Федеральный информационный фонд по обеспечению единства измерений за плату</w:t>
      </w:r>
      <w:r>
        <w:rPr>
          <w:color w:val="000000"/>
          <w:sz w:val="28"/>
          <w:szCs w:val="28"/>
          <w:shd w:val="clear" w:color="auto" w:fill="ffffff"/>
        </w:rPr>
        <w:t xml:space="preserve">, взимаемую в соответствии с частью 1</w:t>
      </w:r>
      <w:r>
        <w:rPr>
          <w:color w:val="000000"/>
          <w:sz w:val="28"/>
          <w:szCs w:val="28"/>
          <w:shd w:val="clear" w:color="auto" w:fill="ffffff"/>
          <w:vertAlign w:val="superscript"/>
        </w:rPr>
        <w:t xml:space="preserve">1</w:t>
      </w:r>
      <w:r>
        <w:rPr>
          <w:color w:val="000000"/>
          <w:sz w:val="28"/>
          <w:szCs w:val="28"/>
          <w:shd w:val="clear" w:color="auto" w:fill="ffffff"/>
        </w:rPr>
        <w:t xml:space="preserve"> статьи 20 настоящего Федерального закона, 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и</w:t>
      </w:r>
      <w:r>
        <w:rPr>
          <w:color w:val="000000"/>
          <w:sz w:val="28"/>
          <w:szCs w:val="28"/>
          <w:shd w:val="clear" w:color="auto" w:fill="ffffff"/>
        </w:rPr>
        <w:t xml:space="preserve"> в срок, установленный в порядке, предусмотренном частью </w:t>
      </w:r>
      <w:r>
        <w:rPr>
          <w:color w:val="000000"/>
          <w:sz w:val="28"/>
          <w:szCs w:val="28"/>
          <w:shd w:val="clear" w:color="auto" w:fill="ffffff"/>
        </w:rPr>
        <w:t xml:space="preserve">5 настоящей статьи. Состав сведений о результатах поверки средств измерений </w:t>
      </w:r>
      <w:r>
        <w:rPr>
          <w:color w:val="000000"/>
          <w:sz w:val="28"/>
          <w:szCs w:val="28"/>
          <w:shd w:val="clear" w:color="auto" w:fill="ffffff"/>
        </w:rPr>
        <w:t xml:space="preserve">и порядок включения указанных </w:t>
      </w:r>
      <w:bookmarkStart w:id="0" w:name="_GoBack"/>
      <w:r/>
      <w:bookmarkEnd w:id="0"/>
      <w:r>
        <w:rPr>
          <w:color w:val="000000"/>
          <w:sz w:val="28"/>
          <w:szCs w:val="28"/>
          <w:shd w:val="clear" w:color="auto" w:fill="ffffff"/>
        </w:rPr>
        <w:t xml:space="preserve">сведений в Федеральный информационный фонд </w:t>
      </w:r>
      <w:r>
        <w:rPr>
          <w:color w:val="000000"/>
          <w:sz w:val="28"/>
          <w:szCs w:val="28"/>
          <w:shd w:val="clear" w:color="auto" w:fill="ffffff"/>
        </w:rPr>
        <w:t xml:space="preserve">по обеспечению единства измерений определяются в порядке, утверждаемом федеральным органом исполнительной власти, осуществляющим функции </w:t>
      </w:r>
      <w:r>
        <w:rPr>
          <w:color w:val="000000"/>
          <w:sz w:val="28"/>
          <w:szCs w:val="28"/>
          <w:shd w:val="clear" w:color="auto" w:fill="ffffff"/>
        </w:rPr>
        <w:t xml:space="preserve">по выработке государственной политики и нормативно-правовому регулированию </w:t>
      </w:r>
      <w:r>
        <w:rPr>
          <w:color w:val="000000"/>
          <w:sz w:val="28"/>
          <w:szCs w:val="28"/>
          <w:shd w:val="clear" w:color="auto" w:fill="ffffff"/>
        </w:rPr>
        <w:t xml:space="preserve">в области обеспечения единства измерений, в соответствии с частью 3 статьи 20 настоящего Федерального закона.</w:t>
      </w:r>
      <w:r>
        <w:rPr>
          <w:color w:val="000000"/>
          <w:sz w:val="28"/>
          <w:szCs w:val="28"/>
          <w:shd w:val="clear" w:color="auto" w:fill="ffffff"/>
        </w:rPr>
        <w:t xml:space="preserve">»;</w:t>
      </w:r>
      <w:r>
        <w:rPr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  <w:t xml:space="preserve">в с</w:t>
      </w:r>
      <w:r>
        <w:rPr>
          <w:sz w:val="28"/>
          <w:szCs w:val="28"/>
        </w:rPr>
        <w:t xml:space="preserve">тать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а) </w:t>
      </w:r>
      <w:r>
        <w:rPr>
          <w:sz w:val="28"/>
          <w:szCs w:val="28"/>
        </w:rPr>
        <w:t xml:space="preserve">часть 1 дополнить абзацем следующего содержания: 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Федеральный орган исполнительной власти, осуществляющий функции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оказанию государственных услуг и управлению государственным имуществом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области обеспечения единства измерений, имеет право передать на основании </w:t>
      </w:r>
      <w:r>
        <w:rPr>
          <w:sz w:val="28"/>
          <w:szCs w:val="28"/>
        </w:rPr>
        <w:t xml:space="preserve">принятого им нормативного правового акта функции по </w:t>
      </w:r>
      <w:r>
        <w:rPr>
          <w:sz w:val="28"/>
          <w:szCs w:val="28"/>
        </w:rPr>
        <w:t xml:space="preserve">ведению </w:t>
      </w:r>
      <w:r>
        <w:rPr>
          <w:sz w:val="28"/>
          <w:szCs w:val="28"/>
        </w:rPr>
        <w:t xml:space="preserve">Федеральн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фонд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по обеспечению единства измерений учреждению, подведомственному федеральному органу исполнительной власти, осуществляющему функции по оказанию государственных услуг и управлению государственным имуществом в области обеспечения единства измерений.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trike/>
          <w:sz w:val="28"/>
          <w:szCs w:val="28"/>
        </w:rPr>
      </w:pPr>
      <w:r>
        <w:rPr>
          <w:sz w:val="28"/>
          <w:szCs w:val="28"/>
        </w:rPr>
        <w:t xml:space="preserve">б) дополнить частью 1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 следующего содержания:</w:t>
      </w:r>
      <w:r>
        <w:rPr>
          <w:strike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внесение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Федеральный информационный фонд по обеспечению единства измерений сведений об </w:t>
      </w:r>
      <w:r>
        <w:rPr>
          <w:sz w:val="28"/>
          <w:szCs w:val="28"/>
        </w:rPr>
        <w:t xml:space="preserve">аттестованных</w:t>
      </w:r>
      <w:r>
        <w:rPr>
          <w:sz w:val="28"/>
          <w:szCs w:val="28"/>
        </w:rPr>
        <w:t xml:space="preserve"> методик</w:t>
      </w:r>
      <w:r>
        <w:rPr>
          <w:sz w:val="28"/>
          <w:szCs w:val="28"/>
        </w:rPr>
        <w:t xml:space="preserve">ах</w:t>
      </w:r>
      <w:r>
        <w:rPr>
          <w:sz w:val="28"/>
          <w:szCs w:val="28"/>
        </w:rPr>
        <w:t xml:space="preserve"> (метод</w:t>
      </w:r>
      <w:r>
        <w:rPr>
          <w:sz w:val="28"/>
          <w:szCs w:val="28"/>
        </w:rPr>
        <w:t xml:space="preserve">ах</w:t>
      </w:r>
      <w:r>
        <w:rPr>
          <w:sz w:val="28"/>
          <w:szCs w:val="28"/>
        </w:rPr>
        <w:t xml:space="preserve">) измерений</w:t>
      </w:r>
      <w:r>
        <w:rPr>
          <w:sz w:val="28"/>
          <w:szCs w:val="28"/>
        </w:rPr>
        <w:t xml:space="preserve">, включая первичные </w:t>
      </w:r>
      <w:r>
        <w:rPr>
          <w:sz w:val="28"/>
          <w:szCs w:val="28"/>
        </w:rPr>
        <w:t xml:space="preserve">референтные</w:t>
      </w:r>
      <w:r>
        <w:rPr>
          <w:sz w:val="28"/>
          <w:szCs w:val="28"/>
        </w:rPr>
        <w:t xml:space="preserve"> методики (методы) измерений и </w:t>
      </w:r>
      <w:r>
        <w:rPr>
          <w:sz w:val="28"/>
          <w:szCs w:val="28"/>
        </w:rPr>
        <w:t xml:space="preserve">референтн</w:t>
      </w:r>
      <w:r>
        <w:rPr>
          <w:sz w:val="28"/>
          <w:szCs w:val="28"/>
        </w:rPr>
        <w:t xml:space="preserve">ые</w:t>
      </w:r>
      <w:r>
        <w:rPr>
          <w:sz w:val="28"/>
          <w:szCs w:val="28"/>
        </w:rPr>
        <w:t xml:space="preserve"> методики (методы) измерений, и</w:t>
      </w:r>
      <w:r>
        <w:rPr>
          <w:sz w:val="28"/>
          <w:szCs w:val="28"/>
        </w:rPr>
        <w:t xml:space="preserve"> сведений о результатах поверки средств измерений государственным научным метрологическим институтом, на который в соответствии с </w:t>
      </w:r>
      <w:r>
        <w:rPr>
          <w:sz w:val="28"/>
          <w:szCs w:val="28"/>
        </w:rPr>
        <w:t xml:space="preserve">частью 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настоящей статьи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возложен</w:t>
      </w:r>
      <w:r>
        <w:rPr>
          <w:sz w:val="28"/>
          <w:szCs w:val="28"/>
        </w:rPr>
        <w:t xml:space="preserve">ы полномочия по </w:t>
      </w:r>
      <w:r>
        <w:rPr>
          <w:sz w:val="28"/>
          <w:szCs w:val="28"/>
        </w:rPr>
        <w:t xml:space="preserve">ведени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Федерального информационного фонда по обеспечению един</w:t>
      </w:r>
      <w:r>
        <w:rPr>
          <w:sz w:val="28"/>
          <w:szCs w:val="28"/>
        </w:rPr>
        <w:t xml:space="preserve">ства измерений, </w:t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юридически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лиц и индивидуальны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 xml:space="preserve">ей</w:t>
      </w:r>
      <w:r>
        <w:rPr>
          <w:sz w:val="28"/>
          <w:szCs w:val="28"/>
        </w:rPr>
        <w:t xml:space="preserve">, аккредитованны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законодательством Российской Федерации об аккредитации в национальной системе аккредитации на проведение аттестации методик (методов) измерений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на проведение поверки средств измерений</w:t>
      </w:r>
      <w:r>
        <w:rPr>
          <w:sz w:val="28"/>
          <w:szCs w:val="28"/>
        </w:rPr>
        <w:t xml:space="preserve">, передающих указанные сведения, взимается плата в</w:t>
      </w:r>
      <w:r>
        <w:rPr>
          <w:sz w:val="28"/>
          <w:szCs w:val="28"/>
        </w:rPr>
        <w:t xml:space="preserve"> случаях, порядке и размерах, </w:t>
      </w:r>
      <w:r>
        <w:rPr>
          <w:sz w:val="28"/>
          <w:szCs w:val="28"/>
        </w:rPr>
        <w:t xml:space="preserve">установленных</w:t>
      </w:r>
      <w:r>
        <w:rPr>
          <w:sz w:val="28"/>
          <w:szCs w:val="28"/>
        </w:rPr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</w:t>
      </w:r>
      <w:r>
        <w:rPr>
          <w:color w:val="000000"/>
          <w:sz w:val="28"/>
          <w:szCs w:val="28"/>
          <w:shd w:val="clear" w:color="auto" w:fill="ffffff"/>
        </w:rPr>
        <w:t xml:space="preserve">в области обеспечения единства измерений.»</w:t>
      </w:r>
      <w:r>
        <w:rPr>
          <w:color w:val="000000"/>
          <w:sz w:val="28"/>
          <w:szCs w:val="28"/>
          <w:shd w:val="clear" w:color="auto" w:fill="ffffff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 xml:space="preserve">Статья 2</w:t>
      </w:r>
      <w:r>
        <w:rPr>
          <w:sz w:val="28"/>
          <w:szCs w:val="28"/>
        </w:rPr>
      </w:r>
    </w:p>
    <w:p>
      <w:pPr>
        <w:ind w:firstLine="720"/>
        <w:jc w:val="both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Настоящий Федеральный закон вступает </w:t>
      </w:r>
      <w:r>
        <w:rPr>
          <w:sz w:val="28"/>
          <w:szCs w:val="28"/>
        </w:rPr>
        <w:t xml:space="preserve">в силу с 1 марта 2027 года.</w:t>
      </w:r>
      <w:r>
        <w:rPr>
          <w:sz w:val="28"/>
          <w:szCs w:val="28"/>
        </w:rPr>
      </w:r>
    </w:p>
    <w:p>
      <w:pPr>
        <w:ind w:firstLine="720"/>
        <w:jc w:val="righ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righ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Президент 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 xml:space="preserve">Российской Федерации</w:t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9" w:h="16834" w:orient="portrait"/>
      <w:pgMar w:top="1134" w:right="567" w:bottom="1134" w:left="1134" w:header="568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20225738"/>
      <w:docPartObj>
        <w:docPartGallery w:val="Page Numbers (Top of Page)"/>
        <w:docPartUnique w:val="true"/>
      </w:docPartObj>
      <w:rPr/>
    </w:sdtPr>
    <w:sdtContent>
      <w:p>
        <w:pPr>
          <w:pStyle w:val="691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4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egacy w:legacy="1" w:legacyIndent="31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egacy w:legacy="1" w:legacyIndent="31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51" w:hanging="142"/>
        <w:tabs>
          <w:tab w:val="num" w:pos="85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7"/>
    <w:next w:val="68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7"/>
    <w:next w:val="68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7"/>
    <w:next w:val="68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7"/>
    <w:next w:val="68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7"/>
    <w:next w:val="68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7"/>
    <w:next w:val="68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7"/>
    <w:next w:val="68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7"/>
    <w:next w:val="68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7"/>
    <w:next w:val="68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7"/>
    <w:next w:val="68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8"/>
    <w:link w:val="34"/>
    <w:uiPriority w:val="10"/>
    <w:rPr>
      <w:sz w:val="48"/>
      <w:szCs w:val="48"/>
    </w:rPr>
  </w:style>
  <w:style w:type="paragraph" w:styleId="36">
    <w:name w:val="Subtitle"/>
    <w:basedOn w:val="687"/>
    <w:next w:val="68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8"/>
    <w:link w:val="36"/>
    <w:uiPriority w:val="11"/>
    <w:rPr>
      <w:sz w:val="24"/>
      <w:szCs w:val="24"/>
    </w:rPr>
  </w:style>
  <w:style w:type="paragraph" w:styleId="38">
    <w:name w:val="Quote"/>
    <w:basedOn w:val="687"/>
    <w:next w:val="68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7"/>
    <w:next w:val="68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8"/>
    <w:link w:val="691"/>
    <w:uiPriority w:val="99"/>
  </w:style>
  <w:style w:type="character" w:styleId="45">
    <w:name w:val="Footer Char"/>
    <w:basedOn w:val="688"/>
    <w:link w:val="693"/>
    <w:uiPriority w:val="99"/>
  </w:style>
  <w:style w:type="paragraph" w:styleId="46">
    <w:name w:val="Caption"/>
    <w:basedOn w:val="687"/>
    <w:next w:val="68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8"/>
    <w:uiPriority w:val="99"/>
    <w:unhideWhenUsed/>
    <w:rPr>
      <w:vertAlign w:val="superscript"/>
    </w:rPr>
  </w:style>
  <w:style w:type="paragraph" w:styleId="178">
    <w:name w:val="endnote text"/>
    <w:basedOn w:val="68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8"/>
    <w:uiPriority w:val="99"/>
    <w:semiHidden/>
    <w:unhideWhenUsed/>
    <w:rPr>
      <w:vertAlign w:val="superscript"/>
    </w:rPr>
  </w:style>
  <w:style w:type="paragraph" w:styleId="181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pPr>
      <w:widowControl w:val="off"/>
    </w:pPr>
    <w:rPr>
      <w:rFonts w:hAnsi="Times New Roman"/>
    </w:rPr>
  </w:style>
  <w:style w:type="character" w:styleId="688" w:default="1">
    <w:name w:val="Default Paragraph Font"/>
    <w:uiPriority w:val="1"/>
    <w:semiHidden/>
    <w:unhideWhenUsed/>
  </w:style>
  <w:style w:type="table" w:styleId="6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0" w:default="1">
    <w:name w:val="No List"/>
    <w:uiPriority w:val="99"/>
    <w:semiHidden/>
    <w:unhideWhenUsed/>
  </w:style>
  <w:style w:type="paragraph" w:styleId="691">
    <w:name w:val="Header"/>
    <w:basedOn w:val="687"/>
    <w:link w:val="69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2" w:customStyle="1">
    <w:name w:val="Верхний колонтитул Знак"/>
    <w:link w:val="691"/>
    <w:uiPriority w:val="99"/>
    <w:rPr>
      <w:rFonts w:hAnsi="Times New Roman" w:cs="Times New Roman"/>
      <w:sz w:val="20"/>
      <w:szCs w:val="20"/>
    </w:rPr>
  </w:style>
  <w:style w:type="paragraph" w:styleId="693">
    <w:name w:val="Footer"/>
    <w:basedOn w:val="687"/>
    <w:link w:val="69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4" w:customStyle="1">
    <w:name w:val="Нижний колонтитул Знак"/>
    <w:link w:val="693"/>
    <w:uiPriority w:val="99"/>
    <w:rPr>
      <w:rFonts w:hAnsi="Times New Roman" w:cs="Times New Roman"/>
      <w:sz w:val="20"/>
      <w:szCs w:val="20"/>
    </w:rPr>
  </w:style>
  <w:style w:type="paragraph" w:styleId="695">
    <w:name w:val="Balloon Text"/>
    <w:basedOn w:val="687"/>
    <w:link w:val="696"/>
    <w:uiPriority w:val="99"/>
    <w:semiHidden/>
    <w:unhideWhenUsed/>
    <w:rPr>
      <w:rFonts w:ascii="Tahoma" w:hAnsi="Tahoma" w:cs="Tahoma"/>
      <w:sz w:val="16"/>
      <w:szCs w:val="16"/>
    </w:rPr>
  </w:style>
  <w:style w:type="character" w:styleId="696" w:customStyle="1">
    <w:name w:val="Текст выноски Знак"/>
    <w:basedOn w:val="688"/>
    <w:link w:val="695"/>
    <w:uiPriority w:val="99"/>
    <w:semiHidden/>
    <w:rPr>
      <w:rFonts w:ascii="Tahoma" w:hAnsi="Tahoma" w:cs="Tahoma"/>
      <w:sz w:val="16"/>
      <w:szCs w:val="16"/>
    </w:rPr>
  </w:style>
  <w:style w:type="paragraph" w:styleId="697">
    <w:name w:val="List Paragraph"/>
    <w:basedOn w:val="687"/>
    <w:uiPriority w:val="34"/>
    <w:qFormat/>
    <w:pPr>
      <w:contextualSpacing/>
      <w:ind w:left="720"/>
    </w:pPr>
  </w:style>
  <w:style w:type="paragraph" w:styleId="698" w:customStyle="1">
    <w:name w:val="ConsPlusNormal"/>
    <w:pPr>
      <w:widowControl w:val="off"/>
    </w:pPr>
    <w:rPr>
      <w:rFonts w:ascii="Arial" w:hAnsi="Arial" w:cs="Arial"/>
    </w:rPr>
  </w:style>
  <w:style w:type="character" w:styleId="699">
    <w:name w:val="annotation reference"/>
    <w:basedOn w:val="688"/>
    <w:uiPriority w:val="99"/>
    <w:semiHidden/>
    <w:unhideWhenUsed/>
    <w:rPr>
      <w:sz w:val="16"/>
      <w:szCs w:val="16"/>
    </w:rPr>
  </w:style>
  <w:style w:type="paragraph" w:styleId="700">
    <w:name w:val="annotation text"/>
    <w:basedOn w:val="687"/>
    <w:link w:val="701"/>
    <w:uiPriority w:val="99"/>
    <w:semiHidden/>
    <w:unhideWhenUsed/>
  </w:style>
  <w:style w:type="character" w:styleId="701" w:customStyle="1">
    <w:name w:val="Текст примечания Знак"/>
    <w:basedOn w:val="688"/>
    <w:link w:val="700"/>
    <w:uiPriority w:val="99"/>
    <w:semiHidden/>
    <w:rPr>
      <w:rFonts w:hAnsi="Times New Roman"/>
    </w:rPr>
  </w:style>
  <w:style w:type="paragraph" w:styleId="702">
    <w:name w:val="annotation subject"/>
    <w:basedOn w:val="700"/>
    <w:next w:val="700"/>
    <w:link w:val="703"/>
    <w:uiPriority w:val="99"/>
    <w:semiHidden/>
    <w:unhideWhenUsed/>
    <w:rPr>
      <w:b/>
      <w:bCs/>
    </w:rPr>
  </w:style>
  <w:style w:type="character" w:styleId="703" w:customStyle="1">
    <w:name w:val="Тема примечания Знак"/>
    <w:basedOn w:val="701"/>
    <w:link w:val="702"/>
    <w:uiPriority w:val="99"/>
    <w:semiHidden/>
    <w:rPr>
      <w:rFonts w:hAnsi="Times New Roman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AEAF1-6590-4D60-B72C-939F208F2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Дмитрий Александрович</dc:creator>
  <cp:lastModifiedBy>Липилина Е.С., Отдел законопроектных работ</cp:lastModifiedBy>
  <cp:revision>9</cp:revision>
  <dcterms:created xsi:type="dcterms:W3CDTF">2025-05-23T13:56:00Z</dcterms:created>
  <dcterms:modified xsi:type="dcterms:W3CDTF">2025-09-25T14:53:10Z</dcterms:modified>
</cp:coreProperties>
</file>