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ПОЯСНИТЕЛЬНАЯ ЗАПИСКА</w:t>
      </w:r>
      <w:r/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к проекту постановления Правительства Российской Федерации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br/>
        <w:t xml:space="preserve"> «О внесении изменений в приложение к постановлению</w:t>
      </w:r>
      <w:r/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Правительства Российской Федерации </w:t>
      </w:r>
      <w:r/>
    </w:p>
    <w:p>
      <w:pPr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от 17 июля 2015 г. № 719»</w:t>
      </w:r>
      <w:r/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firstLine="709"/>
        <w:jc w:val="both"/>
        <w:spacing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целях реализации приказа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Минпромторга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России от 6 декабря 2022 г. № 5065 </w:t>
      </w:r>
      <w:r>
        <w:rPr>
          <w:rFonts w:ascii="Times New Roman" w:hAnsi="Times New Roman" w:eastAsia="Times New Roman" w:cs="Times New Roman"/>
          <w:color w:val="000000"/>
          <w:sz w:val="28"/>
        </w:rPr>
        <w:br/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Об утверждении плана-графика перехода промышленной продукции расчета уровня локализации в балльной системе оценки требований к промышленной продукции, предусмотренных приложением к постановлению Правительства Российской Федерации от 17 июля 2015 г. № 719»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(далее – приказ № 5065) Министерство пр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омышленности и торговли Российской Федерации разработало проект постановления Правительства Российской Федерации «О внесении изменений </w:t>
        <w:br/>
        <w:t xml:space="preserve">в приложение к постановлению Правительства Российской Федерации </w:t>
        <w:br/>
        <w:t xml:space="preserve">от 17 июля 2015 г. № 719» (далее – проект постановления).</w:t>
      </w:r>
      <w:r/>
    </w:p>
    <w:p>
      <w:pPr>
        <w:ind w:firstLine="709"/>
        <w:jc w:val="both"/>
        <w:spacing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Проектом постановления предусматривается введение требований </w:t>
      </w:r>
      <w:r>
        <w:rPr>
          <w:rFonts w:ascii="Times New Roman" w:hAnsi="Times New Roman" w:eastAsia="Times New Roman" w:cs="Times New Roman"/>
          <w:color w:val="000000"/>
          <w:sz w:val="28"/>
        </w:rPr>
        <w:br/>
        <w:t xml:space="preserve"> к промышленной продукции, предъявляемых в целях ее отнесения к продукции, произведенной в Российской Федерации, в отношении продукции отрасли легкой промышленности.</w:t>
      </w:r>
      <w:r/>
    </w:p>
    <w:p>
      <w:pPr>
        <w:ind w:firstLine="709"/>
        <w:jc w:val="both"/>
        <w:spacing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Учитывая, что приложение к постановлению Правительства Российской Федерации от 17 июля 2015 г. № 719 «О подтверждении производства промышленной продукции на территории Российской Федерации» (далее – постановление</w:t>
      </w:r>
      <w:r>
        <w:rPr>
          <w:rFonts w:ascii="Times New Roman" w:hAnsi="Times New Roman" w:eastAsia="Times New Roman" w:cs="Times New Roman"/>
          <w:color w:val="000000"/>
          <w:sz w:val="28"/>
        </w:rPr>
        <w:br/>
        <w:t xml:space="preserve"> № 719) должно содержать достаточный перечень требований к промышленной продукции, предъявляемых ‎в целях ее отнесения к продукции, произведенной</w:t>
      </w:r>
      <w:r>
        <w:rPr>
          <w:rFonts w:ascii="Times New Roman" w:hAnsi="Times New Roman" w:eastAsia="Times New Roman" w:cs="Times New Roman"/>
          <w:color w:val="000000"/>
          <w:sz w:val="28"/>
        </w:rPr>
        <w:br/>
        <w:t xml:space="preserve"> в Российской Федерации, Минпромторг России подготовил соответствующие изменения.</w:t>
      </w:r>
      <w:r/>
    </w:p>
    <w:p>
      <w:pPr>
        <w:ind w:firstLine="709"/>
        <w:jc w:val="both"/>
        <w:spacing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Предлагаемые изменения вводят балльную систему оценки для продукции отрасли легкой промышленности.</w:t>
      </w:r>
      <w:r/>
    </w:p>
    <w:p>
      <w:pPr>
        <w:ind w:firstLine="709"/>
        <w:jc w:val="both"/>
        <w:spacing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технологических операций, указанный в проекте постановления, является определяющим при производстве указанной промышленной продукции </w:t>
      </w:r>
      <w:r>
        <w:rPr>
          <w:rFonts w:ascii="Times New Roman" w:hAnsi="Times New Roman" w:eastAsia="Times New Roman" w:cs="Times New Roman"/>
          <w:color w:val="000000"/>
          <w:sz w:val="28"/>
        </w:rPr>
        <w:br/>
        <w:t xml:space="preserve"> и достаточным для ее отнесения к продукции, произведенной на территории Российской Федерации. Требования к продукции, устанавливаемые в соответствии </w:t>
      </w:r>
      <w:r>
        <w:rPr>
          <w:rFonts w:ascii="Times New Roman" w:hAnsi="Times New Roman" w:eastAsia="Times New Roman" w:cs="Times New Roman"/>
          <w:color w:val="000000"/>
          <w:sz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 приложением к проекту постановления, были сформулированы совместно </w:t>
      </w:r>
      <w:r>
        <w:rPr>
          <w:rFonts w:ascii="Times New Roman" w:hAnsi="Times New Roman" w:eastAsia="Times New Roman" w:cs="Times New Roman"/>
          <w:color w:val="000000"/>
          <w:sz w:val="28"/>
        </w:rPr>
        <w:br/>
        <w:t xml:space="preserve"> с широким кругом производителей соответствующей продукции, а также отраслевыми ассоциациями с учетом действующей в настоящее время структуры производства и планами по его развитию.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Принятие проекта постановления, в совокупности с иными реализуемыми мерами поддержки отечественных производителей, направлено на стимулирование углубления локализации производства указанной продукции и ориентировано</w:t>
      </w:r>
      <w:r>
        <w:rPr>
          <w:rFonts w:ascii="Times New Roman" w:hAnsi="Times New Roman" w:eastAsia="Times New Roman" w:cs="Times New Roman"/>
          <w:color w:val="000000"/>
          <w:sz w:val="28"/>
        </w:rPr>
        <w:br/>
        <w:t xml:space="preserve"> на снижение зависимости внутреннего рынка от иностранных поставок.</w:t>
      </w:r>
      <w:r/>
    </w:p>
    <w:p>
      <w:pPr>
        <w:ind w:firstLine="567"/>
        <w:jc w:val="both"/>
        <w:spacing w:line="360" w:lineRule="auto"/>
      </w:pP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Основными изготовителями продукции отрасли легкой промышленности, затрагиваемой Проектом постановления и соответствующей вводимым проектом акта требованиям, являются: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</w:r>
      <w:r/>
    </w:p>
    <w:p>
      <w:pPr>
        <w:ind w:firstLine="567"/>
        <w:jc w:val="both"/>
        <w:spacing w:after="0" w:line="360" w:lineRule="auto"/>
      </w:pP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Пряжа шерстяная: 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Пехорский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 текстиль»; ООО «ВУЛКАМ»; ООО Фирма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Камтекс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ОАО «Московская шерстопрядильная фабрика»; ООО «Золотое Руно»; ООО Шерстяная компания «Славяне»; ООО «Байкальский Текстильный Комбинат»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.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</w:r>
      <w:r/>
    </w:p>
    <w:p>
      <w:pPr>
        <w:ind w:firstLine="567"/>
        <w:jc w:val="both"/>
        <w:spacing w:after="0" w:line="360" w:lineRule="auto"/>
      </w:pP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Ткани текстильные: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 ООО «ТДЛ» Текстиль»;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Балтекс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Моршанский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 текстильный комбинат»; ООО «Чайковская текстильная компания»; ООО «БТК Текстиль»; 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Купавинская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 текстильная компания»;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«ТК «Русский Дом»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.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</w:r>
      <w:r/>
    </w:p>
    <w:p>
      <w:pPr>
        <w:ind w:firstLine="567"/>
        <w:jc w:val="both"/>
        <w:spacing w:after="0" w:line="360" w:lineRule="auto"/>
      </w:pP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Ткани шерстяные: ОАО «Павлово-Посадск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ий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камвольщик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Элиттекс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Комтекс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«ПКФ «Суконная фабрика»; 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Купавинская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 текстильная компания»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.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</w:r>
      <w:r/>
    </w:p>
    <w:p>
      <w:pPr>
        <w:ind w:firstLine="567"/>
        <w:jc w:val="both"/>
        <w:spacing w:after="0" w:line="360" w:lineRule="auto"/>
      </w:pP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Ткани льняные: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 ООО «ТДЛ Текстиль»;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Владтекс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-Эк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спорт»;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  <w:t xml:space="preserve">ООО «Компания Корона»;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Крайтекс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-Ресурс»; ООО «ЭГАС»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.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</w:r>
      <w:r/>
    </w:p>
    <w:p>
      <w:pPr>
        <w:ind w:firstLine="567"/>
        <w:jc w:val="both"/>
        <w:spacing w:after="0" w:line="360" w:lineRule="auto"/>
      </w:pP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Белье постельное: ООО «БТК Групп»; ООО «ТК «Русский Дом»;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«Швейный мир»; 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Октекс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Камышинский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 текстиль»;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«Донецкая мануфактура М»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; ООО «ТДЛ Текстиль»;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Хвалынский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 текстиль»; 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Силтекс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.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</w:r>
      <w:r/>
    </w:p>
    <w:p>
      <w:pPr>
        <w:ind w:firstLine="567"/>
        <w:jc w:val="both"/>
        <w:spacing w:after="0" w:line="360" w:lineRule="auto"/>
      </w:pP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Белье столовое: ООО «Донецкая мануфактура М»; ООО «ТК «Русский Дом»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  <w:t xml:space="preserve">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Силтекс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«Феникс»; ООО Фирма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Вэлона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.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</w:r>
      <w:r/>
    </w:p>
    <w:p>
      <w:pPr>
        <w:ind w:firstLine="567"/>
        <w:jc w:val="both"/>
        <w:spacing w:after="0" w:line="360" w:lineRule="auto"/>
      </w:pP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Белье туалетное и кухонное: ООО «Дзержинская швейная фабрика «Русь»;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«Текстильный склад»; 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Альянсторг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КинТекс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ООО «Фабрика Красные ткачи»;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 ООО «Донецкая мануфактура М»;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«Борисоглебская швейная фабрика»; 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Силтекс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ООО «Фантом»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.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</w:r>
      <w:r/>
    </w:p>
    <w:p>
      <w:pPr>
        <w:ind w:firstLine="567"/>
        <w:jc w:val="both"/>
        <w:spacing w:after="0" w:line="360" w:lineRule="auto"/>
      </w:pP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Спецодежда: ООО «БТК Групп»; ООО ГК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Мастерснаб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Фортекс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«Инициатива»; ООО «Швейная-19» 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Промкомплектация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Меленковская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 швейная фабрика «Имидж»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«Лаборатория технологической одежды»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 «Спецодежда»; 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Нордпром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«Чусовская швейная фабрика»; ООО «Надежда»; АО «Восток-Сервис-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Спецкомплект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ПВ ООО «Фирма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Техноавиа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Иварус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ООО «Леон Спецодежда»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.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</w:r>
      <w:r/>
    </w:p>
    <w:p>
      <w:pPr>
        <w:ind w:firstLine="567"/>
        <w:jc w:val="both"/>
        <w:spacing w:after="0" w:line="360" w:lineRule="auto"/>
      </w:pP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Форменная (ведомственная) одежда, униформа, школьная форма: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«Швейная фабрика№3»;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«БТК Групп»; ООО «Инициатива»;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«Модный стиль»; ООО «Надежда»; ООО «Борисоглебская швейная фабрика»; ООО «Швейная-19»; 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Сухиничская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 швейная ма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нуфактура»; ООО «ПК Биг Текс»;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«Фантом»; ООО «Триумф»; ООО «Мануфактуры Боско»;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Тейковская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 швейная фабрика»;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«Факел-Спецодежда»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; ООО «Омская швея»; </w:t>
      </w:r>
      <w:bookmarkStart w:id="0" w:name="undefined"/>
      <w:r/>
      <w:bookmarkEnd w:id="0"/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Формтекс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-Галичская швейная фабрика»;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</w:r>
      <w:r/>
    </w:p>
    <w:p>
      <w:pPr>
        <w:ind w:firstLine="567"/>
        <w:jc w:val="both"/>
        <w:spacing w:after="0" w:line="360" w:lineRule="auto"/>
      </w:pP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Одежда защитная огнестойкая: АО ФПГ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Энергоконтракт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Волговятснабкомплект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«Центр Спецодежды»; ЗАО «Завод Труд»;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  <w:t xml:space="preserve">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Промкомплектация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ЗАО «Элиот»; ООО «Росси Телли»; ООО «Гидрант»; ООО «Лидер-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Проф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</w:r>
      <w:r/>
    </w:p>
    <w:p>
      <w:pPr>
        <w:ind w:firstLine="567"/>
        <w:jc w:val="both"/>
        <w:spacing w:after="0" w:line="360" w:lineRule="auto"/>
        <w:rPr>
          <w:rFonts w:ascii="Times New Roman,Bold" w:hAnsi="Times New Roman,Bold" w:eastAsia="Calibri" w:cs="Times New Roman,Bold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Обувь защитная: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 ООО ТД 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Курскспецобувь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Пр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омкомплектация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  <w:t xml:space="preserve">АО «Паритет»;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АО ФПГ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Энергоконтракт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Балтобувь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  <w:t xml:space="preserve">АО «Восток-Сервис-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Спецкомплект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ПВ ООО «Фирма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Техноавиа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«ГК «Авангард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Сэйфети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Нордпром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ООО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Яхтинг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ЗАО «МОФ «Парижская коммуна»; ООО «Лидер»; ООО «Альтаир»; ООО «Вахруши-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Литобувь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br/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АО «Обувная фирма «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Юничел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  <w:t xml:space="preserve">»; ООО ПФ «Лель».</w:t>
      </w:r>
      <w:r>
        <w:rPr>
          <w:rFonts w:ascii="Times New Roman,Bold" w:hAnsi="Times New Roman,Bold" w:eastAsia="Calibri" w:cs="Times New Roman,Bold"/>
          <w:bCs/>
          <w:sz w:val="28"/>
          <w:szCs w:val="28"/>
        </w:rPr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,Bold" w:hAnsi="Times New Roman,Bold" w:eastAsia="Calibri" w:cs="Times New Roman,Bold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Особый срок вступления в силу проекта постановления установлен в целях снижения административной и финансовой 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агрузки на производителей, подавших заявки на выдачу документов о подтверждении производства промышленной продукции на территории Российской Федерации в ТПП России (акт экспертизы, Сертификат СТ-1), в соответствии с требованиями приложения к постановлению </w:t>
      </w:r>
      <w:r>
        <w:rPr>
          <w:rFonts w:ascii="Times New Roman" w:hAnsi="Times New Roman" w:eastAsia="Times New Roman" w:cs="Times New Roman"/>
          <w:color w:val="000000"/>
          <w:sz w:val="28"/>
        </w:rPr>
        <w:br/>
        <w:t xml:space="preserve">№ 719 в редакции, действующей до дня вступления в силу проекта постановления.</w:t>
      </w:r>
      <w:r/>
    </w:p>
    <w:p>
      <w:pPr>
        <w:ind w:firstLine="709"/>
        <w:jc w:val="both"/>
        <w:spacing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Правоприменительная практика по данному вопросу отсутствует.</w:t>
      </w:r>
      <w:r/>
    </w:p>
    <w:p>
      <w:pPr>
        <w:ind w:firstLine="709"/>
        <w:jc w:val="both"/>
        <w:spacing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Дополнительных средств из федерального бюджета на реализацию проекта постановления не потребуется.</w:t>
      </w:r>
      <w:r/>
    </w:p>
    <w:p>
      <w:pPr>
        <w:ind w:firstLine="709"/>
        <w:jc w:val="both"/>
        <w:spacing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  <w:r/>
    </w:p>
    <w:p>
      <w:pPr>
        <w:ind w:firstLine="709"/>
        <w:jc w:val="both"/>
        <w:spacing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Принятие положений, предусмотренных проектом постановления, не повлечет социально-экономических, финансовых и иных последствий, в том числе </w:t>
      </w:r>
      <w:r>
        <w:rPr>
          <w:rFonts w:ascii="Times New Roman" w:hAnsi="Times New Roman" w:eastAsia="Times New Roman" w:cs="Times New Roman"/>
          <w:color w:val="000000"/>
          <w:sz w:val="28"/>
        </w:rPr>
        <w:br/>
        <w:t xml:space="preserve">для субъектов предпринимательской и иной экономической деятельности.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Принятие положений, предусмотренных проектом постановления, не повлияет на достижение целей государственных программ Российской Федерации.</w:t>
      </w:r>
      <w:r/>
    </w:p>
    <w:p>
      <w:pPr>
        <w:ind w:firstLine="567"/>
        <w:jc w:val="both"/>
        <w:spacing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проекте постановления требования, которые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связаны с осуществлением предпринимательской и иной экономической деятельности и оценка соблюдения которых осуществляется в рамках государ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 </w:t>
      </w:r>
      <w:r>
        <w:rPr>
          <w:rFonts w:ascii="Times New Roman" w:hAnsi="Times New Roman" w:eastAsia="Times New Roman" w:cs="Times New Roman"/>
          <w:color w:val="000000"/>
          <w:sz w:val="28"/>
        </w:rPr>
        <w:br/>
        <w:t xml:space="preserve">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несоблюдения, отсутствуют.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,bold">
    <w:panose1 w:val="02020603050405020304"/>
  </w:font>
  <w:font w:name="Times New Roman">
    <w:panose1 w:val="020206030504050203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74993815"/>
      <w:docPartObj>
        <w:docPartGallery w:val="Page Numbers (Top of Page)"/>
        <w:docPartUnique w:val="true"/>
      </w:docPartObj>
      <w:rPr/>
    </w:sdtPr>
    <w:sdtContent>
      <w:p>
        <w:pPr>
          <w:pStyle w:val="849"/>
          <w:jc w:val="center"/>
          <w:rPr>
            <w:rFonts w:ascii="Times New Roman" w:hAnsi="Times New Roman" w:cs="Times New Roman"/>
            <w:sz w:val="24"/>
            <w:szCs w:val="28"/>
          </w:rPr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>
          <w:rPr>
            <w:rFonts w:ascii="Times New Roman" w:hAnsi="Times New Roman" w:cs="Times New Roman"/>
            <w:sz w:val="24"/>
            <w:szCs w:val="28"/>
          </w:rPr>
          <w:t xml:space="preserve">4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 w:default="1">
    <w:name w:val="Normal"/>
    <w:qFormat/>
  </w:style>
  <w:style w:type="paragraph" w:styleId="656">
    <w:name w:val="Heading 1"/>
    <w:basedOn w:val="655"/>
    <w:next w:val="655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basedOn w:val="665"/>
    <w:uiPriority w:val="9"/>
    <w:rPr>
      <w:rFonts w:ascii="Arial" w:hAnsi="Arial" w:eastAsia="Arial" w:cs="Arial"/>
      <w:sz w:val="34"/>
    </w:rPr>
  </w:style>
  <w:style w:type="character" w:styleId="670" w:customStyle="1">
    <w:name w:val="Heading 3 Char"/>
    <w:basedOn w:val="665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basedOn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basedOn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basedOn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basedOn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basedOn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basedOn w:val="665"/>
    <w:uiPriority w:val="9"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basedOn w:val="665"/>
    <w:uiPriority w:val="10"/>
    <w:rPr>
      <w:sz w:val="48"/>
      <w:szCs w:val="48"/>
    </w:rPr>
  </w:style>
  <w:style w:type="character" w:styleId="678" w:customStyle="1">
    <w:name w:val="Subtitle Char"/>
    <w:basedOn w:val="665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character" w:styleId="681" w:customStyle="1">
    <w:name w:val="Footnote Text Char"/>
    <w:uiPriority w:val="99"/>
    <w:rPr>
      <w:sz w:val="18"/>
    </w:rPr>
  </w:style>
  <w:style w:type="character" w:styleId="682" w:customStyle="1">
    <w:name w:val="Endnote Text Char"/>
    <w:uiPriority w:val="99"/>
    <w:rPr>
      <w:sz w:val="20"/>
    </w:rPr>
  </w:style>
  <w:style w:type="character" w:styleId="683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85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after="0" w:line="240" w:lineRule="auto"/>
    </w:pPr>
  </w:style>
  <w:style w:type="paragraph" w:styleId="693">
    <w:name w:val="Title"/>
    <w:basedOn w:val="655"/>
    <w:next w:val="655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 w:customStyle="1">
    <w:name w:val="Заголовок Знак"/>
    <w:basedOn w:val="665"/>
    <w:link w:val="693"/>
    <w:uiPriority w:val="10"/>
    <w:rPr>
      <w:sz w:val="48"/>
      <w:szCs w:val="48"/>
    </w:rPr>
  </w:style>
  <w:style w:type="paragraph" w:styleId="695">
    <w:name w:val="Subtitle"/>
    <w:basedOn w:val="655"/>
    <w:next w:val="655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 w:customStyle="1">
    <w:name w:val="Подзаголовок Знак"/>
    <w:basedOn w:val="665"/>
    <w:link w:val="695"/>
    <w:uiPriority w:val="11"/>
    <w:rPr>
      <w:sz w:val="24"/>
      <w:szCs w:val="24"/>
    </w:rPr>
  </w:style>
  <w:style w:type="paragraph" w:styleId="697">
    <w:name w:val="Quote"/>
    <w:basedOn w:val="655"/>
    <w:next w:val="655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5"/>
    <w:next w:val="655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character" w:styleId="701" w:customStyle="1">
    <w:name w:val="Header Char"/>
    <w:basedOn w:val="665"/>
    <w:uiPriority w:val="99"/>
  </w:style>
  <w:style w:type="character" w:styleId="702" w:customStyle="1">
    <w:name w:val="Footer Char"/>
    <w:basedOn w:val="665"/>
    <w:uiPriority w:val="99"/>
  </w:style>
  <w:style w:type="paragraph" w:styleId="703">
    <w:name w:val="Caption"/>
    <w:basedOn w:val="655"/>
    <w:next w:val="65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4" w:customStyle="1">
    <w:name w:val="Caption Char"/>
    <w:uiPriority w:val="99"/>
  </w:style>
  <w:style w:type="table" w:styleId="705">
    <w:name w:val="Table Grid"/>
    <w:basedOn w:val="66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6" w:customStyle="1">
    <w:name w:val="Table Grid Light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7">
    <w:name w:val="Plain Table 1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6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5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6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7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8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9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0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7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8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9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0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1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2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3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4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7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8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9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0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1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2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3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2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3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4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5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6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7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9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0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1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2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3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4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5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6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7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8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9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0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1">
    <w:name w:val="footnote text"/>
    <w:basedOn w:val="655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 w:customStyle="1">
    <w:name w:val="Текст сноски Знак"/>
    <w:link w:val="831"/>
    <w:uiPriority w:val="99"/>
    <w:rPr>
      <w:sz w:val="18"/>
    </w:rPr>
  </w:style>
  <w:style w:type="character" w:styleId="833">
    <w:name w:val="footnote reference"/>
    <w:basedOn w:val="665"/>
    <w:uiPriority w:val="99"/>
    <w:unhideWhenUsed/>
    <w:rPr>
      <w:vertAlign w:val="superscript"/>
    </w:rPr>
  </w:style>
  <w:style w:type="paragraph" w:styleId="834">
    <w:name w:val="endnote text"/>
    <w:basedOn w:val="655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character" w:styleId="836">
    <w:name w:val="endnote reference"/>
    <w:basedOn w:val="665"/>
    <w:uiPriority w:val="99"/>
    <w:semiHidden/>
    <w:unhideWhenUsed/>
    <w:rPr>
      <w:vertAlign w:val="superscript"/>
    </w:rPr>
  </w:style>
  <w:style w:type="paragraph" w:styleId="837">
    <w:name w:val="toc 1"/>
    <w:basedOn w:val="655"/>
    <w:next w:val="655"/>
    <w:uiPriority w:val="39"/>
    <w:unhideWhenUsed/>
    <w:pPr>
      <w:spacing w:after="57"/>
    </w:pPr>
  </w:style>
  <w:style w:type="paragraph" w:styleId="838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39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40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41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42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43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44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45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655"/>
    <w:next w:val="655"/>
    <w:uiPriority w:val="99"/>
    <w:unhideWhenUsed/>
    <w:pPr>
      <w:spacing w:after="0"/>
    </w:pPr>
  </w:style>
  <w:style w:type="paragraph" w:styleId="848">
    <w:name w:val="List Paragraph"/>
    <w:basedOn w:val="655"/>
    <w:uiPriority w:val="34"/>
    <w:qFormat/>
    <w:pPr>
      <w:contextualSpacing/>
      <w:ind w:left="720"/>
      <w:spacing w:after="200" w:line="276" w:lineRule="auto"/>
    </w:pPr>
  </w:style>
  <w:style w:type="paragraph" w:styleId="849">
    <w:name w:val="Header"/>
    <w:basedOn w:val="655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Верхний колонтитул Знак"/>
    <w:basedOn w:val="665"/>
    <w:link w:val="849"/>
    <w:uiPriority w:val="99"/>
  </w:style>
  <w:style w:type="paragraph" w:styleId="851">
    <w:name w:val="Footer"/>
    <w:basedOn w:val="655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Нижний колонтитул Знак"/>
    <w:basedOn w:val="665"/>
    <w:link w:val="851"/>
    <w:uiPriority w:val="99"/>
  </w:style>
  <w:style w:type="paragraph" w:styleId="853">
    <w:name w:val="Balloon Text"/>
    <w:basedOn w:val="655"/>
    <w:link w:val="85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basedOn w:val="665"/>
    <w:link w:val="853"/>
    <w:uiPriority w:val="99"/>
    <w:semiHidden/>
    <w:rPr>
      <w:rFonts w:ascii="Segoe UI" w:hAnsi="Segoe UI" w:cs="Segoe UI"/>
      <w:sz w:val="18"/>
      <w:szCs w:val="18"/>
    </w:rPr>
  </w:style>
  <w:style w:type="paragraph" w:styleId="855" w:customStyle="1">
    <w:name w:val="ConsPlusNormal"/>
    <w:pPr>
      <w:ind w:firstLine="720"/>
      <w:spacing w:after="0" w:line="240" w:lineRule="auto"/>
    </w:pPr>
    <w:rPr>
      <w:rFonts w:ascii="Arial" w:hAnsi="Arial" w:eastAsia="Calibri" w:cs="Arial"/>
      <w:sz w:val="20"/>
      <w:szCs w:val="20"/>
      <w:lang w:eastAsia="ru-RU"/>
    </w:rPr>
  </w:style>
  <w:style w:type="paragraph" w:styleId="856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57" w:customStyle="1">
    <w:name w:val="pt-pt-consplusnormal"/>
    <w:basedOn w:val="6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8" w:customStyle="1">
    <w:name w:val="pt-pt-pt-a0-000006"/>
    <w:basedOn w:val="665"/>
  </w:style>
  <w:style w:type="character" w:styleId="859" w:customStyle="1">
    <w:name w:val="pt-pt-a0-000005"/>
    <w:basedOn w:val="665"/>
  </w:style>
  <w:style w:type="character" w:styleId="860" w:customStyle="1">
    <w:name w:val="pt-pt-a0-000007-000009"/>
    <w:basedOn w:val="665"/>
  </w:style>
  <w:style w:type="paragraph" w:styleId="861" w:customStyle="1">
    <w:name w:val="pt-pt-pt-a8-000010"/>
    <w:basedOn w:val="6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2" w:customStyle="1">
    <w:name w:val="pt-pt-pt-a0"/>
    <w:basedOn w:val="665"/>
  </w:style>
  <w:style w:type="paragraph" w:styleId="863" w:customStyle="1">
    <w:name w:val="pt-pt-a-000002"/>
    <w:basedOn w:val="6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4" w:customStyle="1">
    <w:name w:val="pt-pt-a0-000003"/>
    <w:basedOn w:val="665"/>
  </w:style>
  <w:style w:type="paragraph" w:styleId="865" w:customStyle="1">
    <w:name w:val="pt-a"/>
    <w:basedOn w:val="6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6" w:customStyle="1">
    <w:name w:val="pt-a0"/>
    <w:basedOn w:val="665"/>
  </w:style>
  <w:style w:type="character" w:styleId="867">
    <w:name w:val="Hyperlink"/>
    <w:basedOn w:val="665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Корнаухов Егор Юрьевич</dc:creator>
  <cp:lastModifiedBy>Комаров И.Е., Отдел методологического обеспечения реализации промышленной политики</cp:lastModifiedBy>
  <cp:revision>4</cp:revision>
  <dcterms:created xsi:type="dcterms:W3CDTF">2023-08-07T14:24:00Z</dcterms:created>
  <dcterms:modified xsi:type="dcterms:W3CDTF">2023-08-10T08:37:40Z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{1EE829E1-DC41-496A-B907-C5EC1119C295}</vt:lpwstr>
  </property>
  <property fmtid="{D5CDD505-2E9C-101B-9397-08002B2CF9AE}" pid="3" name="#RegDocId">
    <vt:lpwstr>Исх. Письмо № Вр-3430704</vt:lpwstr>
  </property>
  <property fmtid="{D5CDD505-2E9C-101B-9397-08002B2CF9AE}" pid="4" name="FileDocId">
    <vt:lpwstr>{41D0599A-7E62-475B-BE0C-1D7AB8342232}</vt:lpwstr>
  </property>
  <property fmtid="{D5CDD505-2E9C-101B-9397-08002B2CF9AE}" pid="5" name="#FileDocId">
    <vt:lpwstr>Файл: Пояснительная записка турбины газовые.docx</vt:lpwstr>
  </property>
</Properties>
</file>