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Default="001B0FF1">
      <w:pPr>
        <w:pStyle w:val="ConsPlusTitle"/>
        <w:jc w:val="center"/>
      </w:pPr>
    </w:p>
    <w:p w:rsidR="001B0FF1" w:rsidRPr="001B0FF1" w:rsidRDefault="001B0FF1" w:rsidP="001B0FF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>Об утверждении методики</w:t>
      </w:r>
    </w:p>
    <w:p w:rsidR="001B0FF1" w:rsidRPr="001B0FF1" w:rsidRDefault="001B0FF1" w:rsidP="001B0FF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>проведения научно-технической оценки комплексных проектов</w:t>
      </w:r>
    </w:p>
    <w:p w:rsidR="001B0FF1" w:rsidRPr="001B0FF1" w:rsidRDefault="001B0FF1" w:rsidP="001B0FF1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FF1" w:rsidRPr="001B0FF1" w:rsidRDefault="001B0FF1" w:rsidP="001B0FF1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1B0FF1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1B0FF1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1B0FF1">
        <w:rPr>
          <w:rFonts w:ascii="Times New Roman" w:hAnsi="Times New Roman" w:cs="Times New Roman"/>
          <w:sz w:val="28"/>
          <w:szCs w:val="28"/>
        </w:rPr>
        <w:t xml:space="preserve"> Правил предоставления из федерального бюджета субсидий российским организациям на финансовое обеспечение части затрат на создание научно-технического задела по разработке базовых технологий производства приоритетных электронных компонентов и радиоэлектронной аппаратуры, утвержденных постановлением Правительства Российской Федерации от 17 февраля 2016 г. </w:t>
      </w:r>
      <w:r w:rsidR="00483D84">
        <w:rPr>
          <w:rFonts w:ascii="Times New Roman" w:hAnsi="Times New Roman" w:cs="Times New Roman"/>
          <w:sz w:val="28"/>
          <w:szCs w:val="28"/>
        </w:rPr>
        <w:t>№</w:t>
      </w:r>
      <w:r w:rsidRPr="001B0FF1">
        <w:rPr>
          <w:rFonts w:ascii="Times New Roman" w:hAnsi="Times New Roman" w:cs="Times New Roman"/>
          <w:sz w:val="28"/>
          <w:szCs w:val="28"/>
        </w:rPr>
        <w:t xml:space="preserve"> 109 </w:t>
      </w:r>
      <w:r w:rsidR="00483D84">
        <w:rPr>
          <w:rFonts w:ascii="Times New Roman" w:hAnsi="Times New Roman" w:cs="Times New Roman"/>
          <w:sz w:val="28"/>
          <w:szCs w:val="28"/>
        </w:rPr>
        <w:t>«</w:t>
      </w:r>
      <w:r w:rsidRPr="001B0FF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1B0FF1">
        <w:rPr>
          <w:rFonts w:ascii="Times New Roman" w:hAnsi="Times New Roman" w:cs="Times New Roman"/>
          <w:sz w:val="28"/>
          <w:szCs w:val="28"/>
        </w:rPr>
        <w:br/>
        <w:t xml:space="preserve">Правил предоставления из федерального бюджета субсидий </w:t>
      </w:r>
      <w:r w:rsidRPr="001B0FF1">
        <w:rPr>
          <w:rFonts w:ascii="Times New Roman" w:hAnsi="Times New Roman" w:cs="Times New Roman"/>
          <w:sz w:val="28"/>
          <w:szCs w:val="28"/>
        </w:rPr>
        <w:br/>
        <w:t xml:space="preserve">российским организациям на финансовое обеспечение части затрат </w:t>
      </w:r>
      <w:r w:rsidRPr="001B0FF1">
        <w:rPr>
          <w:rFonts w:ascii="Times New Roman" w:hAnsi="Times New Roman" w:cs="Times New Roman"/>
          <w:sz w:val="28"/>
          <w:szCs w:val="28"/>
        </w:rPr>
        <w:br/>
        <w:t>на создание научно-технического задела по разработке базовых технологий производства приори</w:t>
      </w:r>
      <w:r w:rsidR="00483D84">
        <w:rPr>
          <w:rFonts w:ascii="Times New Roman" w:hAnsi="Times New Roman" w:cs="Times New Roman"/>
          <w:sz w:val="28"/>
          <w:szCs w:val="28"/>
        </w:rPr>
        <w:t xml:space="preserve">тетных электронных компонентов </w:t>
      </w:r>
      <w:r w:rsidRPr="001B0FF1">
        <w:rPr>
          <w:rFonts w:ascii="Times New Roman" w:hAnsi="Times New Roman" w:cs="Times New Roman"/>
          <w:sz w:val="28"/>
          <w:szCs w:val="28"/>
        </w:rPr>
        <w:t>и радиоэлектронной аппаратуры</w:t>
      </w:r>
      <w:r w:rsidR="00483D84">
        <w:rPr>
          <w:rFonts w:ascii="Times New Roman" w:hAnsi="Times New Roman" w:cs="Times New Roman"/>
          <w:sz w:val="28"/>
          <w:szCs w:val="28"/>
        </w:rPr>
        <w:t>»</w:t>
      </w:r>
      <w:r w:rsidRPr="001B0FF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2016, № 9, ст. 1258; 2018, № 6, ст. 903; 2020, № 37, ст. 5705; 2021, № 17, ст. 2965; № 45, </w:t>
      </w:r>
      <w:r>
        <w:rPr>
          <w:rFonts w:ascii="Times New Roman" w:hAnsi="Times New Roman" w:cs="Times New Roman"/>
          <w:sz w:val="28"/>
          <w:szCs w:val="28"/>
        </w:rPr>
        <w:t>ст. 7517; 2022, № 38, ст. 6461)</w:t>
      </w:r>
      <w:r w:rsidRPr="001B0FF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ю:</w:t>
      </w:r>
    </w:p>
    <w:p w:rsidR="001B0FF1" w:rsidRPr="001B0FF1" w:rsidRDefault="001B0FF1" w:rsidP="001B0FF1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29">
        <w:r w:rsidRPr="001B0FF1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1B0FF1">
        <w:rPr>
          <w:rFonts w:ascii="Times New Roman" w:hAnsi="Times New Roman" w:cs="Times New Roman"/>
          <w:sz w:val="28"/>
          <w:szCs w:val="28"/>
        </w:rPr>
        <w:t xml:space="preserve"> проведения научно-технической оценки комплексных проектов.</w:t>
      </w:r>
    </w:p>
    <w:p w:rsidR="001B0FF1" w:rsidRPr="001B0FF1" w:rsidRDefault="001B0FF1" w:rsidP="001B0FF1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>
        <w:r w:rsidRPr="001B0FF1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1B0FF1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 и </w:t>
      </w:r>
      <w:r w:rsidRPr="001B0FF1">
        <w:rPr>
          <w:rFonts w:ascii="Times New Roman" w:hAnsi="Times New Roman" w:cs="Times New Roman"/>
          <w:sz w:val="28"/>
          <w:szCs w:val="28"/>
        </w:rPr>
        <w:lastRenderedPageBreak/>
        <w:t xml:space="preserve">торговли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19 сентября 2022</w:t>
      </w:r>
      <w:r w:rsidRPr="001B0FF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3969 «</w:t>
      </w:r>
      <w:r w:rsidRPr="001B0FF1">
        <w:rPr>
          <w:rFonts w:ascii="Times New Roman" w:hAnsi="Times New Roman" w:cs="Times New Roman"/>
          <w:sz w:val="28"/>
          <w:szCs w:val="28"/>
        </w:rPr>
        <w:t>Об утверждении методики проведения научно-технической оценки комплексных проектов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0FF1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1</w:t>
      </w:r>
      <w:r w:rsidRPr="001B0FF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1B0FF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0FF1">
        <w:rPr>
          <w:rFonts w:ascii="Times New Roman" w:hAnsi="Times New Roman" w:cs="Times New Roman"/>
          <w:sz w:val="28"/>
          <w:szCs w:val="28"/>
        </w:rPr>
        <w:t xml:space="preserve"> г., регистрационный </w:t>
      </w:r>
      <w:r>
        <w:rPr>
          <w:rFonts w:ascii="Times New Roman" w:hAnsi="Times New Roman" w:cs="Times New Roman"/>
          <w:sz w:val="28"/>
          <w:szCs w:val="28"/>
        </w:rPr>
        <w:t>№ 70471</w:t>
      </w:r>
      <w:r w:rsidRPr="001B0FF1">
        <w:rPr>
          <w:rFonts w:ascii="Times New Roman" w:hAnsi="Times New Roman" w:cs="Times New Roman"/>
          <w:sz w:val="28"/>
          <w:szCs w:val="28"/>
        </w:rPr>
        <w:t>).</w:t>
      </w:r>
    </w:p>
    <w:p w:rsidR="001B0FF1" w:rsidRPr="001B0FF1" w:rsidRDefault="001B0FF1" w:rsidP="001B0FF1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заместителя Министра промышленности и торговли Российской Федерации В.В. Шпака.</w:t>
      </w:r>
    </w:p>
    <w:p w:rsidR="001B0FF1" w:rsidRDefault="001B0FF1" w:rsidP="001B0FF1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дня, следующего за днем его официального опубликования.</w:t>
      </w:r>
    </w:p>
    <w:p w:rsidR="001B0FF1" w:rsidRDefault="001B0FF1" w:rsidP="001B0FF1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0FF1" w:rsidRDefault="001B0FF1" w:rsidP="001B0FF1">
      <w:pPr>
        <w:pStyle w:val="ConsPlusNormal"/>
        <w:spacing w:before="220" w:line="360" w:lineRule="auto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0FF1" w:rsidRPr="001B0FF1" w:rsidRDefault="001B0FF1" w:rsidP="001B0FF1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>Министр</w:t>
      </w:r>
    </w:p>
    <w:p w:rsidR="001B0FF1" w:rsidRDefault="001B0FF1" w:rsidP="001B0FF1">
      <w:pPr>
        <w:pStyle w:val="ConsPlusNormal"/>
        <w:spacing w:before="220" w:line="360" w:lineRule="auto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Д.В. МАНТУРОВ</w:t>
      </w:r>
    </w:p>
    <w:p w:rsidR="001B0FF1" w:rsidRDefault="001B0FF1" w:rsidP="001B0FF1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0FF1" w:rsidRDefault="001B0FF1" w:rsidP="001B0FF1">
      <w:pPr>
        <w:pStyle w:val="ConsPlusNormal"/>
        <w:spacing w:before="22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1B0FF1" w:rsidSect="009E6D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B0FF1" w:rsidRPr="00CC55CF" w:rsidRDefault="001B0FF1" w:rsidP="001B0FF1">
      <w:pPr>
        <w:pageBreakBefore/>
        <w:autoSpaceDE w:val="0"/>
        <w:autoSpaceDN w:val="0"/>
        <w:adjustRightInd w:val="0"/>
        <w:spacing w:line="360" w:lineRule="auto"/>
        <w:ind w:left="6095" w:hanging="283"/>
        <w:jc w:val="center"/>
        <w:rPr>
          <w:bCs/>
          <w:color w:val="000000"/>
          <w:sz w:val="28"/>
          <w:szCs w:val="28"/>
        </w:rPr>
      </w:pPr>
      <w:r w:rsidRPr="00CC55CF">
        <w:rPr>
          <w:bCs/>
          <w:color w:val="000000"/>
          <w:sz w:val="28"/>
          <w:szCs w:val="28"/>
        </w:rPr>
        <w:lastRenderedPageBreak/>
        <w:t>УТВЕРЖДЕНА</w:t>
      </w:r>
    </w:p>
    <w:p w:rsidR="001B0FF1" w:rsidRPr="00CC55CF" w:rsidRDefault="001B0FF1" w:rsidP="001B0FF1">
      <w:pPr>
        <w:autoSpaceDE w:val="0"/>
        <w:autoSpaceDN w:val="0"/>
        <w:adjustRightInd w:val="0"/>
        <w:ind w:left="6096" w:hanging="283"/>
        <w:jc w:val="center"/>
        <w:rPr>
          <w:bCs/>
          <w:color w:val="000000"/>
          <w:sz w:val="28"/>
          <w:szCs w:val="28"/>
        </w:rPr>
      </w:pPr>
      <w:r w:rsidRPr="00CC55CF">
        <w:rPr>
          <w:bCs/>
          <w:color w:val="000000"/>
          <w:sz w:val="28"/>
          <w:szCs w:val="28"/>
        </w:rPr>
        <w:t>приказом Минпромторга России</w:t>
      </w:r>
    </w:p>
    <w:p w:rsidR="001B0FF1" w:rsidRPr="00CC55CF" w:rsidRDefault="001B0FF1" w:rsidP="001B0FF1">
      <w:pPr>
        <w:autoSpaceDE w:val="0"/>
        <w:autoSpaceDN w:val="0"/>
        <w:adjustRightInd w:val="0"/>
        <w:ind w:left="6096" w:hanging="283"/>
        <w:jc w:val="center"/>
        <w:rPr>
          <w:bCs/>
          <w:color w:val="000000"/>
          <w:sz w:val="28"/>
          <w:szCs w:val="28"/>
        </w:rPr>
      </w:pPr>
      <w:r w:rsidRPr="00CC55CF">
        <w:rPr>
          <w:bCs/>
          <w:color w:val="000000"/>
          <w:sz w:val="28"/>
          <w:szCs w:val="28"/>
        </w:rPr>
        <w:t>от __________________ №______</w:t>
      </w:r>
    </w:p>
    <w:p w:rsidR="001B0FF1" w:rsidRPr="001B0FF1" w:rsidRDefault="001B0FF1" w:rsidP="001B0FF1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0FF1" w:rsidRPr="001B0FF1" w:rsidRDefault="001B0FF1" w:rsidP="001B0FF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>
        <w:rPr>
          <w:rFonts w:ascii="Times New Roman" w:hAnsi="Times New Roman" w:cs="Times New Roman"/>
          <w:sz w:val="28"/>
          <w:szCs w:val="28"/>
        </w:rPr>
        <w:t>М</w:t>
      </w:r>
      <w:r w:rsidRPr="001B0FF1">
        <w:rPr>
          <w:rFonts w:ascii="Times New Roman" w:hAnsi="Times New Roman" w:cs="Times New Roman"/>
          <w:sz w:val="28"/>
          <w:szCs w:val="28"/>
        </w:rPr>
        <w:t>етодика</w:t>
      </w:r>
    </w:p>
    <w:p w:rsidR="001B0FF1" w:rsidRPr="001B0FF1" w:rsidRDefault="001B0FF1" w:rsidP="001B0FF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>проведения научно-технической оценки комплексных проектов</w:t>
      </w:r>
    </w:p>
    <w:p w:rsidR="001B0FF1" w:rsidRPr="001B0FF1" w:rsidRDefault="001B0FF1" w:rsidP="001B0FF1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FF1" w:rsidRPr="001B0FF1" w:rsidRDefault="001B0FF1" w:rsidP="001B0FF1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 xml:space="preserve">1. Настоящая методика определяет порядок проведения научно-технической оценки комплексных проектов, которая проводится экспертным советом по проведению научно-технической оценки комплексных проектов и контролю их реализации, образуемым Министерством промышленности и торговли Российской Федерации (далее - экспертный совет Министерства), в рамках отбора на предоставление из федерального бюджета субсидий российским организациям на финансовое обеспечение части затрат на создание научно-технического задела по разработке базовых технологий производства приоритетных электронных компонентов и радиоэлектронной аппаратуры в рамках государственной </w:t>
      </w:r>
      <w:hyperlink r:id="rId15">
        <w:r w:rsidRPr="001B0FF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2723F6">
        <w:rPr>
          <w:rFonts w:ascii="Times New Roman" w:hAnsi="Times New Roman" w:cs="Times New Roman"/>
          <w:sz w:val="28"/>
          <w:szCs w:val="28"/>
        </w:rPr>
        <w:t xml:space="preserve"> Российской Федерации «</w:t>
      </w:r>
      <w:r w:rsidRPr="001B0FF1">
        <w:rPr>
          <w:rFonts w:ascii="Times New Roman" w:hAnsi="Times New Roman" w:cs="Times New Roman"/>
          <w:sz w:val="28"/>
          <w:szCs w:val="28"/>
        </w:rPr>
        <w:t>Научно-технологическое развитие Российской Федерации</w:t>
      </w:r>
      <w:r w:rsidR="002723F6">
        <w:rPr>
          <w:rFonts w:ascii="Times New Roman" w:hAnsi="Times New Roman" w:cs="Times New Roman"/>
          <w:sz w:val="28"/>
          <w:szCs w:val="28"/>
        </w:rPr>
        <w:t>»</w:t>
      </w:r>
      <w:r w:rsidRPr="001B0FF1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29 марта 2019 г. </w:t>
      </w:r>
      <w:r w:rsidR="002723F6">
        <w:rPr>
          <w:rFonts w:ascii="Times New Roman" w:hAnsi="Times New Roman" w:cs="Times New Roman"/>
          <w:sz w:val="28"/>
          <w:szCs w:val="28"/>
        </w:rPr>
        <w:t>№</w:t>
      </w:r>
      <w:r w:rsidRPr="001B0FF1">
        <w:rPr>
          <w:rFonts w:ascii="Times New Roman" w:hAnsi="Times New Roman" w:cs="Times New Roman"/>
          <w:sz w:val="28"/>
          <w:szCs w:val="28"/>
        </w:rPr>
        <w:t xml:space="preserve"> 377 (далее - организация, отбор, субсидия, государственная программа).</w:t>
      </w:r>
    </w:p>
    <w:p w:rsidR="001B0FF1" w:rsidRPr="001B0FF1" w:rsidRDefault="001B0FF1" w:rsidP="002723F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FF1">
        <w:rPr>
          <w:rFonts w:ascii="Times New Roman" w:hAnsi="Times New Roman" w:cs="Times New Roman"/>
          <w:sz w:val="28"/>
          <w:szCs w:val="28"/>
        </w:rPr>
        <w:t xml:space="preserve">2. Научно-техническая оценка комплексного проекта проводится </w:t>
      </w:r>
      <w:r w:rsidR="002723F6" w:rsidRPr="002723F6">
        <w:rPr>
          <w:rFonts w:ascii="Times New Roman" w:hAnsi="Times New Roman" w:cs="Times New Roman"/>
          <w:sz w:val="28"/>
          <w:szCs w:val="28"/>
        </w:rPr>
        <w:t>на основании документов, представляемых организацией для участия в отборе</w:t>
      </w:r>
      <w:r w:rsidR="002723F6" w:rsidRPr="001B0FF1"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6">
        <w:r w:rsidRPr="001B0FF1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483D84">
          <w:rPr>
            <w:rFonts w:ascii="Times New Roman" w:hAnsi="Times New Roman" w:cs="Times New Roman"/>
            <w:sz w:val="28"/>
            <w:szCs w:val="28"/>
          </w:rPr>
          <w:t>ом</w:t>
        </w:r>
        <w:r w:rsidRPr="001B0FF1">
          <w:rPr>
            <w:rFonts w:ascii="Times New Roman" w:hAnsi="Times New Roman" w:cs="Times New Roman"/>
            <w:sz w:val="28"/>
            <w:szCs w:val="28"/>
          </w:rPr>
          <w:t xml:space="preserve"> 11</w:t>
        </w:r>
      </w:hyperlink>
      <w:r w:rsidRPr="001B0FF1">
        <w:rPr>
          <w:rFonts w:ascii="Times New Roman" w:hAnsi="Times New Roman" w:cs="Times New Roman"/>
          <w:sz w:val="28"/>
          <w:szCs w:val="28"/>
        </w:rPr>
        <w:t xml:space="preserve"> Правил предоставления из федерального бюджета субсидий российским организациям на финансовое обеспечение части затрат на создание научно-технического задела по разработке базовых технологий производства приоритетных электронных компонентов и радиоэлектронной аппаратуры, утвержденных постановлением Правительства Российской Федерации </w:t>
      </w:r>
      <w:r w:rsidR="00483D84">
        <w:rPr>
          <w:rFonts w:ascii="Times New Roman" w:hAnsi="Times New Roman" w:cs="Times New Roman"/>
          <w:sz w:val="28"/>
          <w:szCs w:val="28"/>
        </w:rPr>
        <w:br/>
      </w:r>
      <w:r w:rsidRPr="001B0FF1">
        <w:rPr>
          <w:rFonts w:ascii="Times New Roman" w:hAnsi="Times New Roman" w:cs="Times New Roman"/>
          <w:sz w:val="28"/>
          <w:szCs w:val="28"/>
        </w:rPr>
        <w:t xml:space="preserve">от 17 февраля 2016 г. </w:t>
      </w:r>
      <w:r w:rsidR="00483D84">
        <w:rPr>
          <w:rFonts w:ascii="Times New Roman" w:hAnsi="Times New Roman" w:cs="Times New Roman"/>
          <w:sz w:val="28"/>
          <w:szCs w:val="28"/>
        </w:rPr>
        <w:t>№</w:t>
      </w:r>
      <w:r w:rsidRPr="001B0FF1">
        <w:rPr>
          <w:rFonts w:ascii="Times New Roman" w:hAnsi="Times New Roman" w:cs="Times New Roman"/>
          <w:sz w:val="28"/>
          <w:szCs w:val="28"/>
        </w:rPr>
        <w:t xml:space="preserve"> 109 </w:t>
      </w:r>
      <w:r w:rsidR="00483D8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83D84" w:rsidRPr="001B0FF1">
        <w:rPr>
          <w:rFonts w:ascii="Times New Roman" w:hAnsi="Times New Roman" w:cs="Times New Roman"/>
          <w:sz w:val="28"/>
          <w:szCs w:val="28"/>
        </w:rPr>
        <w:t xml:space="preserve">Правил предоставления </w:t>
      </w:r>
      <w:r w:rsidR="00483D84">
        <w:rPr>
          <w:rFonts w:ascii="Times New Roman" w:hAnsi="Times New Roman" w:cs="Times New Roman"/>
          <w:sz w:val="28"/>
          <w:szCs w:val="28"/>
        </w:rPr>
        <w:br/>
      </w:r>
      <w:r w:rsidR="00483D84" w:rsidRPr="001B0FF1">
        <w:rPr>
          <w:rFonts w:ascii="Times New Roman" w:hAnsi="Times New Roman" w:cs="Times New Roman"/>
          <w:sz w:val="28"/>
          <w:szCs w:val="28"/>
        </w:rPr>
        <w:t>из</w:t>
      </w:r>
      <w:r w:rsidR="00483D84">
        <w:rPr>
          <w:rFonts w:ascii="Times New Roman" w:hAnsi="Times New Roman" w:cs="Times New Roman"/>
          <w:sz w:val="28"/>
          <w:szCs w:val="28"/>
        </w:rPr>
        <w:t xml:space="preserve"> федерального бюджета субсидий </w:t>
      </w:r>
      <w:r w:rsidR="00483D84" w:rsidRPr="001B0FF1">
        <w:rPr>
          <w:rFonts w:ascii="Times New Roman" w:hAnsi="Times New Roman" w:cs="Times New Roman"/>
          <w:sz w:val="28"/>
          <w:szCs w:val="28"/>
        </w:rPr>
        <w:t>российским организациям на финан</w:t>
      </w:r>
      <w:r w:rsidR="00483D84">
        <w:rPr>
          <w:rFonts w:ascii="Times New Roman" w:hAnsi="Times New Roman" w:cs="Times New Roman"/>
          <w:sz w:val="28"/>
          <w:szCs w:val="28"/>
        </w:rPr>
        <w:t xml:space="preserve">совое обеспечение части затрат </w:t>
      </w:r>
      <w:r w:rsidR="00483D84" w:rsidRPr="001B0FF1">
        <w:rPr>
          <w:rFonts w:ascii="Times New Roman" w:hAnsi="Times New Roman" w:cs="Times New Roman"/>
          <w:sz w:val="28"/>
          <w:szCs w:val="28"/>
        </w:rPr>
        <w:t xml:space="preserve">на создание научно-технического задела по разработке </w:t>
      </w:r>
      <w:r w:rsidR="00483D84" w:rsidRPr="001B0FF1">
        <w:rPr>
          <w:rFonts w:ascii="Times New Roman" w:hAnsi="Times New Roman" w:cs="Times New Roman"/>
          <w:sz w:val="28"/>
          <w:szCs w:val="28"/>
        </w:rPr>
        <w:lastRenderedPageBreak/>
        <w:t>базовых технологий производства приори</w:t>
      </w:r>
      <w:r w:rsidR="00483D84">
        <w:rPr>
          <w:rFonts w:ascii="Times New Roman" w:hAnsi="Times New Roman" w:cs="Times New Roman"/>
          <w:sz w:val="28"/>
          <w:szCs w:val="28"/>
        </w:rPr>
        <w:t xml:space="preserve">тетных электронных компонентов </w:t>
      </w:r>
      <w:r w:rsidR="00483D84" w:rsidRPr="001B0FF1">
        <w:rPr>
          <w:rFonts w:ascii="Times New Roman" w:hAnsi="Times New Roman" w:cs="Times New Roman"/>
          <w:sz w:val="28"/>
          <w:szCs w:val="28"/>
        </w:rPr>
        <w:t>и радиоэлектронной аппаратуры</w:t>
      </w:r>
      <w:r w:rsidR="00483D84">
        <w:rPr>
          <w:rFonts w:ascii="Times New Roman" w:hAnsi="Times New Roman" w:cs="Times New Roman"/>
          <w:sz w:val="28"/>
          <w:szCs w:val="28"/>
        </w:rPr>
        <w:t>»</w:t>
      </w:r>
      <w:r w:rsidR="00483D84" w:rsidRPr="001B0FF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2016, № 9, ст. 1258; 2018, № 6, ст. 903; 2020, № 37, ст. 5705; 2021, № 17, ст. 2965; № 45, </w:t>
      </w:r>
      <w:r w:rsidR="00483D84">
        <w:rPr>
          <w:rFonts w:ascii="Times New Roman" w:hAnsi="Times New Roman" w:cs="Times New Roman"/>
          <w:sz w:val="28"/>
          <w:szCs w:val="28"/>
        </w:rPr>
        <w:t>ст. 7517; 2022, № 38, ст. 6461)</w:t>
      </w:r>
      <w:r w:rsidR="00483D84" w:rsidRPr="001B0FF1">
        <w:rPr>
          <w:rFonts w:ascii="Times New Roman" w:hAnsi="Times New Roman" w:cs="Times New Roman"/>
          <w:sz w:val="28"/>
          <w:szCs w:val="28"/>
        </w:rPr>
        <w:t xml:space="preserve"> </w:t>
      </w:r>
      <w:r w:rsidRPr="001B0FF1">
        <w:rPr>
          <w:rFonts w:ascii="Times New Roman" w:hAnsi="Times New Roman" w:cs="Times New Roman"/>
          <w:sz w:val="28"/>
          <w:szCs w:val="28"/>
        </w:rPr>
        <w:t>(далее - Правила).</w:t>
      </w:r>
    </w:p>
    <w:p w:rsidR="001B0FF1" w:rsidRDefault="001B0FF1" w:rsidP="00483D84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1B0FF1">
        <w:rPr>
          <w:rFonts w:ascii="Times New Roman" w:hAnsi="Times New Roman" w:cs="Times New Roman"/>
          <w:sz w:val="28"/>
          <w:szCs w:val="28"/>
        </w:rPr>
        <w:t xml:space="preserve">3. Оценка комплексного проекта проводится в соответствии с критериями, установленными </w:t>
      </w:r>
      <w:hyperlink r:id="rId17">
        <w:r w:rsidRPr="001B0FF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83D84">
        <w:rPr>
          <w:rFonts w:ascii="Times New Roman" w:hAnsi="Times New Roman" w:cs="Times New Roman"/>
          <w:sz w:val="28"/>
          <w:szCs w:val="28"/>
        </w:rPr>
        <w:t>6</w:t>
      </w:r>
      <w:r w:rsidRPr="001B0FF1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4. Оценка комплексного проекта производится в две стадии: заочная оценка комплексного проекта и очная презентация комплексного проекта. Допуск комплексного проекта к стадии очной презентации осуществляется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483D84">
        <w:rPr>
          <w:rFonts w:ascii="Times New Roman" w:hAnsi="Times New Roman" w:cs="Times New Roman"/>
          <w:sz w:val="28"/>
          <w:szCs w:val="28"/>
        </w:rPr>
        <w:t>заочной оценки.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5. На этапе заочной оценки проводится оценка комплексного проекта отдельно в рамках каждой из рабочих групп экспертного совета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направлениям «рыночная перспективность», «</w:t>
      </w:r>
      <w:r w:rsidRPr="00483D84">
        <w:rPr>
          <w:rFonts w:ascii="Times New Roman" w:hAnsi="Times New Roman" w:cs="Times New Roman"/>
          <w:sz w:val="28"/>
          <w:szCs w:val="28"/>
        </w:rPr>
        <w:t>технологический суверенитет», «производственный потенциал», «финансово-экономическая эффективность»</w:t>
      </w:r>
      <w:r w:rsidR="00831105">
        <w:rPr>
          <w:rFonts w:ascii="Times New Roman" w:hAnsi="Times New Roman" w:cs="Times New Roman"/>
          <w:sz w:val="28"/>
          <w:szCs w:val="28"/>
        </w:rPr>
        <w:t xml:space="preserve"> (далее – рабочие группы)</w:t>
      </w:r>
      <w:r w:rsidRPr="00483D84">
        <w:rPr>
          <w:rFonts w:ascii="Times New Roman" w:hAnsi="Times New Roman" w:cs="Times New Roman"/>
          <w:sz w:val="28"/>
          <w:szCs w:val="28"/>
        </w:rPr>
        <w:t>. Комплексный проект должен быть рассмотрен индивиду</w:t>
      </w:r>
      <w:r>
        <w:rPr>
          <w:rFonts w:ascii="Times New Roman" w:hAnsi="Times New Roman" w:cs="Times New Roman"/>
          <w:sz w:val="28"/>
          <w:szCs w:val="28"/>
        </w:rPr>
        <w:t xml:space="preserve">ально не менее </w:t>
      </w:r>
      <w:r w:rsidRPr="00483D84">
        <w:rPr>
          <w:rFonts w:ascii="Times New Roman" w:hAnsi="Times New Roman" w:cs="Times New Roman"/>
          <w:sz w:val="28"/>
          <w:szCs w:val="28"/>
        </w:rPr>
        <w:t>чем тремя членами каждой из рабочих групп экспертного совета Министерства. Распределение комплексных проектов для рассмотрения членами рабочих групп осуществляется коллегией экспертного совета Министерства в случайном порядке.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83D84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83D84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3D84">
        <w:rPr>
          <w:rFonts w:ascii="Times New Roman" w:hAnsi="Times New Roman" w:cs="Times New Roman"/>
          <w:sz w:val="28"/>
          <w:szCs w:val="28"/>
        </w:rPr>
        <w:t xml:space="preserve"> «Рыночная перспективность»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Pr="00483D84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83D84">
        <w:rPr>
          <w:rFonts w:ascii="Times New Roman" w:hAnsi="Times New Roman" w:cs="Times New Roman"/>
          <w:sz w:val="28"/>
          <w:szCs w:val="28"/>
        </w:rPr>
        <w:t xml:space="preserve"> по параметрам «Подтвержденный спрос» (ПС), «Опыт организации на внутреннем рынке» (ОВР), «Экспортный опыт» (ЭО).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6.1. По параметру «Подтвержденный спрос» (ПС) оценка производится следующим образом.</w:t>
      </w:r>
    </w:p>
    <w:p w:rsidR="00831105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ПС =15 х (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ОПС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ОПР</m:t>
            </m:r>
          </m:den>
        </m:f>
      </m:oMath>
      <w:r w:rsidRPr="00483D84">
        <w:rPr>
          <w:rFonts w:ascii="Times New Roman" w:hAnsi="Times New Roman" w:cs="Times New Roman"/>
          <w:sz w:val="28"/>
          <w:szCs w:val="28"/>
        </w:rPr>
        <w:t>), но не более 15 баллов,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где: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ОПР – объем производства и реализации продукции, заявленный на конец реализации комплексного проекта;</w:t>
      </w:r>
    </w:p>
    <w:p w:rsidR="00483D84" w:rsidRPr="00483D84" w:rsidRDefault="004629E1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ОПС – объе</w:t>
      </w:r>
      <w:r w:rsidR="00483D84" w:rsidRPr="00483D84">
        <w:rPr>
          <w:rFonts w:ascii="Times New Roman" w:hAnsi="Times New Roman" w:cs="Times New Roman"/>
          <w:sz w:val="28"/>
          <w:szCs w:val="28"/>
        </w:rPr>
        <w:t>м подтвержденного спроса, который определяется следующим образом:</w:t>
      </w:r>
    </w:p>
    <w:p w:rsidR="00831105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lastRenderedPageBreak/>
          <m:t>ОПС=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0,9×ОПС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0,5×ОПС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483D84">
        <w:rPr>
          <w:rFonts w:ascii="Times New Roman" w:hAnsi="Times New Roman" w:cs="Times New Roman"/>
          <w:sz w:val="28"/>
          <w:szCs w:val="28"/>
        </w:rPr>
        <w:t>,</w:t>
      </w:r>
    </w:p>
    <w:p w:rsidR="00483D84" w:rsidRPr="00483D84" w:rsidRDefault="00831105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3D84" w:rsidRPr="00483D8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ОПС - значение объема подтвержденного спроса, учитываемый при оценке комплексного проекта;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ОПСК – объем спроса, подтвержденного наличием офсетных контрактов и (или) других типов договоров, определяющих строгие условия по срокам и объемам поставок продукции комплексного проекта;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ОПСС – объем спроса, подтвержденного наличием соглашений о намерениях, сотрудничестве, предварительных договоров и иных двусторонних соглашений, содержащих предварительные условия по техническим характеристикам, срокам и объемам поставок продукции комплексного проекта;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ОПСП – объем спроса, подтвержденного наличием писем о намерениях, потенциальном спросе и другого типа односторонних документов, содержащих информацию о потенциальном спросе на продукцию комплексного проекта.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В целях определения значения параметра ОПС члены рабочей группы исключают из расчетов документы, предоставленные от потенциальных потребителей, осуществляющих непрофильную деятельность.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6.2. По параметру «Опыт организации на внутреннем рынке» (ОВР) оценка производится следующим образом.</w:t>
      </w:r>
    </w:p>
    <w:tbl>
      <w:tblPr>
        <w:tblStyle w:val="a3"/>
        <w:tblW w:w="0" w:type="auto"/>
        <w:jc w:val="center"/>
        <w:tblLook w:val="04A0"/>
      </w:tblPr>
      <w:tblGrid>
        <w:gridCol w:w="842"/>
        <w:gridCol w:w="6759"/>
        <w:gridCol w:w="2536"/>
      </w:tblGrid>
      <w:tr w:rsidR="00483D84" w:rsidRPr="004629E1" w:rsidTr="004629E1">
        <w:trPr>
          <w:jc w:val="center"/>
        </w:trPr>
        <w:tc>
          <w:tcPr>
            <w:tcW w:w="846" w:type="dxa"/>
          </w:tcPr>
          <w:p w:rsidR="00483D84" w:rsidRPr="004629E1" w:rsidRDefault="00483D84" w:rsidP="004629E1">
            <w:pPr>
              <w:pStyle w:val="ConsPlusNormal"/>
              <w:ind w:firstLine="17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483D84" w:rsidRPr="004629E1" w:rsidRDefault="00483D84" w:rsidP="004629E1">
            <w:pPr>
              <w:pStyle w:val="ConsPlusNormal"/>
              <w:ind w:firstLine="5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545" w:type="dxa"/>
          </w:tcPr>
          <w:p w:rsidR="00483D84" w:rsidRPr="004629E1" w:rsidRDefault="00483D84" w:rsidP="004629E1">
            <w:pPr>
              <w:pStyle w:val="ConsPlusNormal"/>
              <w:ind w:firstLine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 (ОВР)</w:t>
            </w:r>
          </w:p>
        </w:tc>
      </w:tr>
      <w:tr w:rsidR="00483D84" w:rsidRPr="004629E1" w:rsidTr="004629E1">
        <w:trPr>
          <w:jc w:val="center"/>
        </w:trPr>
        <w:tc>
          <w:tcPr>
            <w:tcW w:w="846" w:type="dxa"/>
          </w:tcPr>
          <w:p w:rsidR="00483D84" w:rsidRPr="004629E1" w:rsidRDefault="00483D84" w:rsidP="004629E1">
            <w:pPr>
              <w:pStyle w:val="ConsPlusNormal"/>
              <w:ind w:firstLine="17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83D84" w:rsidRPr="004629E1" w:rsidRDefault="00483D84" w:rsidP="004629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Суммарный объем выручки Заявителя за последние два года составляет менее 25% от планируемого в рамках комплексного проекта объема производства и реализации продукции</w:t>
            </w:r>
          </w:p>
        </w:tc>
        <w:tc>
          <w:tcPr>
            <w:tcW w:w="2545" w:type="dxa"/>
          </w:tcPr>
          <w:p w:rsidR="00483D84" w:rsidRPr="004629E1" w:rsidRDefault="00483D84" w:rsidP="004629E1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4629E1" w:rsidTr="004629E1">
        <w:trPr>
          <w:jc w:val="center"/>
        </w:trPr>
        <w:tc>
          <w:tcPr>
            <w:tcW w:w="846" w:type="dxa"/>
          </w:tcPr>
          <w:p w:rsidR="00483D84" w:rsidRPr="004629E1" w:rsidRDefault="00483D84" w:rsidP="004629E1">
            <w:pPr>
              <w:pStyle w:val="ConsPlusNormal"/>
              <w:ind w:firstLine="17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83D84" w:rsidRPr="004629E1" w:rsidRDefault="00483D84" w:rsidP="004629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Суммарный объем выручки Заявителя за последние два года составляет от 25% (включительно) до 50% от планируемого в рамках комплексного проекта объема производства и реализации продукции</w:t>
            </w:r>
          </w:p>
        </w:tc>
        <w:tc>
          <w:tcPr>
            <w:tcW w:w="2545" w:type="dxa"/>
          </w:tcPr>
          <w:p w:rsidR="00483D84" w:rsidRPr="004629E1" w:rsidRDefault="00483D84" w:rsidP="004629E1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83D84" w:rsidRPr="004629E1" w:rsidTr="004629E1">
        <w:trPr>
          <w:jc w:val="center"/>
        </w:trPr>
        <w:tc>
          <w:tcPr>
            <w:tcW w:w="846" w:type="dxa"/>
          </w:tcPr>
          <w:p w:rsidR="00483D84" w:rsidRPr="004629E1" w:rsidRDefault="00483D84" w:rsidP="004629E1">
            <w:pPr>
              <w:pStyle w:val="ConsPlusNormal"/>
              <w:ind w:firstLine="17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483D84" w:rsidRPr="004629E1" w:rsidRDefault="00483D84" w:rsidP="004629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Суммарный объем выручки Заявителя за последние два года составляет от 50% (включительно) до 100% от планируемого в рамках комплексного проекта объема производства и реализации продукции</w:t>
            </w:r>
          </w:p>
        </w:tc>
        <w:tc>
          <w:tcPr>
            <w:tcW w:w="2545" w:type="dxa"/>
          </w:tcPr>
          <w:p w:rsidR="00483D84" w:rsidRPr="004629E1" w:rsidRDefault="00483D84" w:rsidP="004629E1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83D84" w:rsidRPr="004629E1" w:rsidTr="004629E1">
        <w:trPr>
          <w:jc w:val="center"/>
        </w:trPr>
        <w:tc>
          <w:tcPr>
            <w:tcW w:w="846" w:type="dxa"/>
          </w:tcPr>
          <w:p w:rsidR="00483D84" w:rsidRPr="004629E1" w:rsidRDefault="00483D84" w:rsidP="004629E1">
            <w:pPr>
              <w:pStyle w:val="ConsPlusNormal"/>
              <w:ind w:firstLine="17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483D84" w:rsidRPr="004629E1" w:rsidRDefault="00483D84" w:rsidP="004629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Суммарный объем выручки Заявителя за последн</w:t>
            </w:r>
            <w:r w:rsidR="001F5D62">
              <w:rPr>
                <w:rFonts w:ascii="Times New Roman" w:hAnsi="Times New Roman" w:cs="Times New Roman"/>
                <w:sz w:val="24"/>
                <w:szCs w:val="24"/>
              </w:rPr>
              <w:t xml:space="preserve">ие два года составляет от 100% </w:t>
            </w: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(включительно) от планируемого в рамках комплексного проекта объема производства и реализации продукции</w:t>
            </w:r>
          </w:p>
        </w:tc>
        <w:tc>
          <w:tcPr>
            <w:tcW w:w="2545" w:type="dxa"/>
          </w:tcPr>
          <w:p w:rsidR="00483D84" w:rsidRPr="004629E1" w:rsidRDefault="00483D84" w:rsidP="004629E1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lastRenderedPageBreak/>
        <w:t>6.3. По параметру «Экспортный опыт» (ЭО). оценка производится следующим образом.</w:t>
      </w:r>
    </w:p>
    <w:tbl>
      <w:tblPr>
        <w:tblStyle w:val="a3"/>
        <w:tblW w:w="0" w:type="auto"/>
        <w:tblLook w:val="04A0"/>
      </w:tblPr>
      <w:tblGrid>
        <w:gridCol w:w="842"/>
        <w:gridCol w:w="6759"/>
        <w:gridCol w:w="2536"/>
      </w:tblGrid>
      <w:tr w:rsidR="00483D84" w:rsidRPr="00483D84" w:rsidTr="00483D84">
        <w:tc>
          <w:tcPr>
            <w:tcW w:w="846" w:type="dxa"/>
          </w:tcPr>
          <w:p w:rsidR="00483D84" w:rsidRPr="004629E1" w:rsidRDefault="00483D84" w:rsidP="004629E1">
            <w:pPr>
              <w:pStyle w:val="ConsPlusNormal"/>
              <w:ind w:firstLine="3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483D84" w:rsidRPr="004629E1" w:rsidRDefault="00483D84" w:rsidP="004629E1">
            <w:pPr>
              <w:pStyle w:val="ConsPlusNormal"/>
              <w:ind w:firstLine="5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545" w:type="dxa"/>
          </w:tcPr>
          <w:p w:rsidR="00483D84" w:rsidRPr="004629E1" w:rsidRDefault="00483D84" w:rsidP="004629E1">
            <w:pPr>
              <w:pStyle w:val="ConsPlusNormal"/>
              <w:ind w:firstLine="1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 (ЭО)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4629E1" w:rsidRDefault="00483D84" w:rsidP="004629E1">
            <w:pPr>
              <w:pStyle w:val="ConsPlusNormal"/>
              <w:ind w:firstLine="3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83D84" w:rsidRPr="004629E1" w:rsidRDefault="00483D84" w:rsidP="004629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Суммарный объем экспортной выручки Заявителя за последние два года составляет менее 25% от планируемого в рамках комплексного проекта объема экспорта продукции</w:t>
            </w:r>
          </w:p>
        </w:tc>
        <w:tc>
          <w:tcPr>
            <w:tcW w:w="2545" w:type="dxa"/>
          </w:tcPr>
          <w:p w:rsidR="00483D84" w:rsidRPr="004629E1" w:rsidRDefault="00483D84" w:rsidP="004629E1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4629E1" w:rsidRDefault="00483D84" w:rsidP="004629E1">
            <w:pPr>
              <w:pStyle w:val="ConsPlusNormal"/>
              <w:ind w:firstLine="3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83D84" w:rsidRPr="004629E1" w:rsidRDefault="00483D84" w:rsidP="004629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Суммарный объем выручки Заявителя за последние два года составляет от 25% (включительно) до 75% от планируемого в рамках комплексного проекта объема производства и реализации продукции</w:t>
            </w:r>
          </w:p>
        </w:tc>
        <w:tc>
          <w:tcPr>
            <w:tcW w:w="2545" w:type="dxa"/>
          </w:tcPr>
          <w:p w:rsidR="00483D84" w:rsidRPr="004629E1" w:rsidRDefault="00483D84" w:rsidP="004629E1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4629E1" w:rsidRDefault="00483D84" w:rsidP="004629E1">
            <w:pPr>
              <w:pStyle w:val="ConsPlusNormal"/>
              <w:ind w:firstLine="3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483D84" w:rsidRPr="004629E1" w:rsidRDefault="00483D84" w:rsidP="004629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объем выручки Заявителя за последние два года составляет от 75% (включительно) </w:t>
            </w:r>
          </w:p>
        </w:tc>
        <w:tc>
          <w:tcPr>
            <w:tcW w:w="2545" w:type="dxa"/>
          </w:tcPr>
          <w:p w:rsidR="00483D84" w:rsidRPr="004629E1" w:rsidRDefault="00483D84" w:rsidP="004629E1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6.4. Итоговая индивидуальная оценка эксперта рабочей группы «Рыночная перспективность» (РП) определяется как сумма баллов по указанным параметрам:</w:t>
      </w:r>
    </w:p>
    <w:p w:rsidR="0059149C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РП = (ПС + ОВР + ЭО) х ККИИ, </w:t>
      </w:r>
    </w:p>
    <w:p w:rsidR="00483D84" w:rsidRPr="00483D84" w:rsidRDefault="0059149C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3D84" w:rsidRPr="00483D8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ККИИ – коэффициент, характеризующий применение продукции комплексного проекта на объектах критической информационной инфраструктуры. В случае наличия писем и (или) соглашений и (или) договоров, подтверждающих возможность применения продукции комплексного проекта на объектах критической информационной инфраструктуру коэффициенту, устанавливается значение 1,2</w:t>
      </w:r>
      <w:r w:rsidR="0059149C">
        <w:rPr>
          <w:rFonts w:ascii="Times New Roman" w:hAnsi="Times New Roman" w:cs="Times New Roman"/>
          <w:sz w:val="28"/>
          <w:szCs w:val="28"/>
        </w:rPr>
        <w:t>.</w:t>
      </w:r>
      <w:r w:rsidRPr="00483D84">
        <w:rPr>
          <w:rFonts w:ascii="Times New Roman" w:hAnsi="Times New Roman" w:cs="Times New Roman"/>
          <w:sz w:val="28"/>
          <w:szCs w:val="28"/>
        </w:rPr>
        <w:t xml:space="preserve"> </w:t>
      </w:r>
      <w:r w:rsidR="001F5D62">
        <w:rPr>
          <w:rFonts w:ascii="Times New Roman" w:hAnsi="Times New Roman" w:cs="Times New Roman"/>
          <w:sz w:val="28"/>
          <w:szCs w:val="28"/>
        </w:rPr>
        <w:t xml:space="preserve">В остальных случаях указанное </w:t>
      </w:r>
      <w:r w:rsidRPr="00483D84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1F5D62">
        <w:rPr>
          <w:rFonts w:ascii="Times New Roman" w:hAnsi="Times New Roman" w:cs="Times New Roman"/>
          <w:sz w:val="28"/>
          <w:szCs w:val="28"/>
        </w:rPr>
        <w:t xml:space="preserve">принимается равным </w:t>
      </w:r>
      <w:r w:rsidRPr="00483D84">
        <w:rPr>
          <w:rFonts w:ascii="Times New Roman" w:hAnsi="Times New Roman" w:cs="Times New Roman"/>
          <w:sz w:val="28"/>
          <w:szCs w:val="28"/>
        </w:rPr>
        <w:t>1,0.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6.5. Итоговая оценка комплексного проекта по критерию «Рыночная перспективность» (ОРП) рассчитывается следующим образом:</w:t>
      </w:r>
    </w:p>
    <w:p w:rsidR="008915CC" w:rsidRDefault="00510833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="00483D84" w:rsidRPr="00483D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3D84" w:rsidRPr="00483D84" w:rsidRDefault="008915CC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3D84" w:rsidRPr="00483D8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D84">
        <w:rPr>
          <w:rFonts w:ascii="Times New Roman" w:hAnsi="Times New Roman" w:cs="Times New Roman"/>
          <w:sz w:val="28"/>
          <w:szCs w:val="28"/>
        </w:rPr>
        <w:t>РПi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– индивидуальная оценка члена рабочей группы «Рыночная перспективность», осуществляющего оценку комплексного проекта, определяемая в соответствии с пунктом 6.4</w:t>
      </w:r>
      <w:r w:rsidR="008915CC">
        <w:rPr>
          <w:rFonts w:ascii="Times New Roman" w:hAnsi="Times New Roman" w:cs="Times New Roman"/>
          <w:sz w:val="28"/>
          <w:szCs w:val="28"/>
        </w:rPr>
        <w:t xml:space="preserve"> настоящей Методики</w:t>
      </w:r>
      <w:r w:rsidRPr="00483D84">
        <w:rPr>
          <w:rFonts w:ascii="Times New Roman" w:hAnsi="Times New Roman" w:cs="Times New Roman"/>
          <w:sz w:val="28"/>
          <w:szCs w:val="28"/>
        </w:rPr>
        <w:t>;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N - общее количество членов рабочей группы «Рыночная перспективность», осуществляющих оценку комплексного проекта (не менее 3 членов).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7. В рамках рабочей группы «Технологический суверенитет» оценка </w:t>
      </w:r>
      <w:r w:rsidRPr="00483D84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производится по параметрам «Планируемый уровень локализации» (УЛ), «Конкурентоспособность продукции» (КП), «Наличие российских аналогов» (НРА), «Наличие в плане </w:t>
      </w:r>
      <w:proofErr w:type="spellStart"/>
      <w:r w:rsidR="008915CC" w:rsidRPr="00483D84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8915CC" w:rsidRPr="00483D84">
        <w:rPr>
          <w:rFonts w:ascii="Times New Roman" w:hAnsi="Times New Roman" w:cs="Times New Roman"/>
          <w:sz w:val="28"/>
          <w:szCs w:val="28"/>
        </w:rPr>
        <w:t>» (</w:t>
      </w:r>
      <w:r w:rsidRPr="00483D84">
        <w:rPr>
          <w:rFonts w:ascii="Times New Roman" w:hAnsi="Times New Roman" w:cs="Times New Roman"/>
          <w:sz w:val="28"/>
          <w:szCs w:val="28"/>
        </w:rPr>
        <w:t>НПИ), «Уровень готовности технологий» (УГТ).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7.1. По параметру «Планируемый уровень локализации» (УЛ) оценка производится следующим образом.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7.1.1. В отношении продукции, в отношении которой постановлением Правительства Российской Федерации от 17 июля 2015 г</w:t>
      </w:r>
      <w:r w:rsidR="0069395C">
        <w:rPr>
          <w:rFonts w:ascii="Times New Roman" w:hAnsi="Times New Roman" w:cs="Times New Roman"/>
          <w:sz w:val="28"/>
          <w:szCs w:val="28"/>
        </w:rPr>
        <w:t>.</w:t>
      </w:r>
      <w:r w:rsidRPr="00483D84">
        <w:rPr>
          <w:rFonts w:ascii="Times New Roman" w:hAnsi="Times New Roman" w:cs="Times New Roman"/>
          <w:sz w:val="28"/>
          <w:szCs w:val="28"/>
        </w:rPr>
        <w:t xml:space="preserve"> №</w:t>
      </w:r>
      <w:r w:rsidR="0069395C">
        <w:rPr>
          <w:rFonts w:ascii="Times New Roman" w:hAnsi="Times New Roman" w:cs="Times New Roman"/>
          <w:sz w:val="28"/>
          <w:szCs w:val="28"/>
        </w:rPr>
        <w:t xml:space="preserve"> </w:t>
      </w:r>
      <w:r w:rsidRPr="00483D84">
        <w:rPr>
          <w:rFonts w:ascii="Times New Roman" w:hAnsi="Times New Roman" w:cs="Times New Roman"/>
          <w:sz w:val="28"/>
          <w:szCs w:val="28"/>
        </w:rPr>
        <w:t xml:space="preserve">719 </w:t>
      </w:r>
      <w:r w:rsidR="00B869BB">
        <w:rPr>
          <w:rFonts w:ascii="Times New Roman" w:hAnsi="Times New Roman" w:cs="Times New Roman"/>
          <w:sz w:val="28"/>
          <w:szCs w:val="28"/>
        </w:rPr>
        <w:br/>
      </w:r>
      <w:r w:rsidR="008915CC">
        <w:rPr>
          <w:rFonts w:ascii="Times New Roman" w:hAnsi="Times New Roman" w:cs="Times New Roman"/>
          <w:sz w:val="28"/>
          <w:szCs w:val="28"/>
        </w:rPr>
        <w:t>«</w:t>
      </w:r>
      <w:r w:rsidR="008915CC" w:rsidRPr="008915CC">
        <w:rPr>
          <w:rFonts w:ascii="Times New Roman" w:hAnsi="Times New Roman" w:cs="Times New Roman"/>
          <w:sz w:val="28"/>
          <w:szCs w:val="28"/>
        </w:rPr>
        <w:t>О подтверждении производства промышленной продукции на территории Российской Федерации</w:t>
      </w:r>
      <w:r w:rsidR="008915CC">
        <w:rPr>
          <w:rFonts w:ascii="Times New Roman" w:hAnsi="Times New Roman" w:cs="Times New Roman"/>
          <w:sz w:val="28"/>
          <w:szCs w:val="28"/>
        </w:rPr>
        <w:t>»</w:t>
      </w:r>
      <w:r w:rsidR="008915CC" w:rsidRPr="008915CC">
        <w:rPr>
          <w:rFonts w:ascii="Times New Roman" w:hAnsi="Times New Roman" w:cs="Times New Roman"/>
          <w:sz w:val="28"/>
          <w:szCs w:val="28"/>
        </w:rPr>
        <w:t xml:space="preserve"> </w:t>
      </w:r>
      <w:r w:rsidRPr="00483D84">
        <w:rPr>
          <w:rFonts w:ascii="Times New Roman" w:hAnsi="Times New Roman" w:cs="Times New Roman"/>
          <w:sz w:val="28"/>
          <w:szCs w:val="28"/>
        </w:rPr>
        <w:t xml:space="preserve">(в редакции, действующей на дату опубликования </w:t>
      </w:r>
      <w:r w:rsidR="0028190C">
        <w:rPr>
          <w:rFonts w:ascii="Times New Roman" w:hAnsi="Times New Roman" w:cs="Times New Roman"/>
          <w:sz w:val="28"/>
          <w:szCs w:val="28"/>
        </w:rPr>
        <w:t>объявления</w:t>
      </w:r>
      <w:r w:rsidRPr="00483D84">
        <w:rPr>
          <w:rFonts w:ascii="Times New Roman" w:hAnsi="Times New Roman" w:cs="Times New Roman"/>
          <w:sz w:val="28"/>
          <w:szCs w:val="28"/>
        </w:rPr>
        <w:t xml:space="preserve"> о про</w:t>
      </w:r>
      <w:r w:rsidR="00B869BB">
        <w:rPr>
          <w:rFonts w:ascii="Times New Roman" w:hAnsi="Times New Roman" w:cs="Times New Roman"/>
          <w:sz w:val="28"/>
          <w:szCs w:val="28"/>
        </w:rPr>
        <w:t>ведении отбора</w:t>
      </w:r>
      <w:r w:rsidRPr="00483D84">
        <w:rPr>
          <w:rFonts w:ascii="Times New Roman" w:hAnsi="Times New Roman" w:cs="Times New Roman"/>
          <w:sz w:val="28"/>
          <w:szCs w:val="28"/>
        </w:rPr>
        <w:t>), установлена балльная оценка:</w:t>
      </w:r>
    </w:p>
    <w:p w:rsidR="00B869BB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УЛ=3+10х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заявл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мин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мин</m:t>
                </m:r>
              </m:sub>
            </m:sSub>
          </m:den>
        </m:f>
      </m:oMath>
      <w:r w:rsidRPr="00483D84">
        <w:rPr>
          <w:rFonts w:ascii="Times New Roman" w:hAnsi="Times New Roman" w:cs="Times New Roman"/>
          <w:sz w:val="28"/>
          <w:szCs w:val="28"/>
        </w:rPr>
        <w:t xml:space="preserve">, но не более 10 баллов, 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где: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D84">
        <w:rPr>
          <w:rFonts w:ascii="Times New Roman" w:hAnsi="Times New Roman" w:cs="Times New Roman"/>
          <w:sz w:val="28"/>
          <w:szCs w:val="28"/>
        </w:rPr>
        <w:t>Бзаявл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– количество баллов, планируемое к достижению Заявителем в рамках комплексного проекта. 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D84">
        <w:rPr>
          <w:rFonts w:ascii="Times New Roman" w:hAnsi="Times New Roman" w:cs="Times New Roman"/>
          <w:sz w:val="28"/>
          <w:szCs w:val="28"/>
        </w:rPr>
        <w:t>Бмин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– минимальное количество баллов, необходимое для присвоения статуса продукции российского происхождения, установленное постановлением Правительства Российс</w:t>
      </w:r>
      <w:r w:rsidR="0069395C">
        <w:rPr>
          <w:rFonts w:ascii="Times New Roman" w:hAnsi="Times New Roman" w:cs="Times New Roman"/>
          <w:sz w:val="28"/>
          <w:szCs w:val="28"/>
        </w:rPr>
        <w:t>кой Федерации от 17 июля 2015 г.</w:t>
      </w:r>
      <w:r w:rsidRPr="00483D84">
        <w:rPr>
          <w:rFonts w:ascii="Times New Roman" w:hAnsi="Times New Roman" w:cs="Times New Roman"/>
          <w:sz w:val="28"/>
          <w:szCs w:val="28"/>
        </w:rPr>
        <w:t xml:space="preserve"> №</w:t>
      </w:r>
      <w:r w:rsidR="0069395C">
        <w:rPr>
          <w:rFonts w:ascii="Times New Roman" w:hAnsi="Times New Roman" w:cs="Times New Roman"/>
          <w:sz w:val="28"/>
          <w:szCs w:val="28"/>
        </w:rPr>
        <w:t xml:space="preserve"> </w:t>
      </w:r>
      <w:r w:rsidRPr="00483D84">
        <w:rPr>
          <w:rFonts w:ascii="Times New Roman" w:hAnsi="Times New Roman" w:cs="Times New Roman"/>
          <w:sz w:val="28"/>
          <w:szCs w:val="28"/>
        </w:rPr>
        <w:t>719</w:t>
      </w:r>
      <w:r w:rsidR="00B869BB">
        <w:rPr>
          <w:rFonts w:ascii="Times New Roman" w:hAnsi="Times New Roman" w:cs="Times New Roman"/>
          <w:sz w:val="28"/>
          <w:szCs w:val="28"/>
        </w:rPr>
        <w:t xml:space="preserve"> </w:t>
      </w:r>
      <w:r w:rsidR="00B869BB">
        <w:rPr>
          <w:rFonts w:ascii="Times New Roman" w:hAnsi="Times New Roman" w:cs="Times New Roman"/>
          <w:sz w:val="28"/>
          <w:szCs w:val="28"/>
        </w:rPr>
        <w:br/>
        <w:t>«О</w:t>
      </w:r>
      <w:r w:rsidR="00B869BB" w:rsidRPr="008915CC">
        <w:rPr>
          <w:rFonts w:ascii="Times New Roman" w:hAnsi="Times New Roman" w:cs="Times New Roman"/>
          <w:sz w:val="28"/>
          <w:szCs w:val="28"/>
        </w:rPr>
        <w:t xml:space="preserve"> подтверждении производства промышленной продукции на территории Российской Федерации</w:t>
      </w:r>
      <w:r w:rsidR="00B869BB">
        <w:rPr>
          <w:rFonts w:ascii="Times New Roman" w:hAnsi="Times New Roman" w:cs="Times New Roman"/>
          <w:sz w:val="28"/>
          <w:szCs w:val="28"/>
        </w:rPr>
        <w:t>»</w:t>
      </w:r>
      <w:r w:rsidRPr="00483D84">
        <w:rPr>
          <w:rFonts w:ascii="Times New Roman" w:hAnsi="Times New Roman" w:cs="Times New Roman"/>
          <w:sz w:val="28"/>
          <w:szCs w:val="28"/>
        </w:rPr>
        <w:t>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В случае, если в рамках комплексного проекта планируется разработка и производство нескольких продуктов, оценка УЛ устанавливается как среднеарифметическое значение по каждому из видов продукции.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Если в отношении хотя бы одного из видо</w:t>
      </w:r>
      <w:r w:rsidR="002F7823">
        <w:rPr>
          <w:rFonts w:ascii="Times New Roman" w:hAnsi="Times New Roman" w:cs="Times New Roman"/>
          <w:sz w:val="28"/>
          <w:szCs w:val="28"/>
        </w:rPr>
        <w:t>в</w:t>
      </w:r>
      <w:r w:rsidRPr="00483D84">
        <w:rPr>
          <w:rFonts w:ascii="Times New Roman" w:hAnsi="Times New Roman" w:cs="Times New Roman"/>
          <w:sz w:val="28"/>
          <w:szCs w:val="28"/>
        </w:rPr>
        <w:t xml:space="preserve"> продукции значение </w:t>
      </w:r>
      <w:proofErr w:type="spellStart"/>
      <w:r w:rsidRPr="00483D84">
        <w:rPr>
          <w:rFonts w:ascii="Times New Roman" w:hAnsi="Times New Roman" w:cs="Times New Roman"/>
          <w:sz w:val="28"/>
          <w:szCs w:val="28"/>
        </w:rPr>
        <w:t>Бзаявл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меньше </w:t>
      </w:r>
      <w:proofErr w:type="spellStart"/>
      <w:r w:rsidRPr="00483D84">
        <w:rPr>
          <w:rFonts w:ascii="Times New Roman" w:hAnsi="Times New Roman" w:cs="Times New Roman"/>
          <w:sz w:val="28"/>
          <w:szCs w:val="28"/>
        </w:rPr>
        <w:t>Бмин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>, оценке УЛ присваивается значение «0».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7.1.2. В отношении других видов продукции:</w:t>
      </w:r>
    </w:p>
    <w:p w:rsidR="002F7823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УЛ=3+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заявл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-50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483D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где: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D84">
        <w:rPr>
          <w:rFonts w:ascii="Times New Roman" w:hAnsi="Times New Roman" w:cs="Times New Roman"/>
          <w:sz w:val="28"/>
          <w:szCs w:val="28"/>
        </w:rPr>
        <w:t>Азаявл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– адвалорная доля, планируемая к достижению Заявителем в рамках </w:t>
      </w:r>
      <w:r w:rsidRPr="00483D84">
        <w:rPr>
          <w:rFonts w:ascii="Times New Roman" w:hAnsi="Times New Roman" w:cs="Times New Roman"/>
          <w:sz w:val="28"/>
          <w:szCs w:val="28"/>
        </w:rPr>
        <w:lastRenderedPageBreak/>
        <w:t>комплексного проекта, указывается в процентах.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В случае, если в рамках комплексного проекта планируется разработка и производство нескольких продуктов, оценка УЛ устанавливается как среднеарифметическое значение по каждому из видов продукции.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Если в отношении хотя бы одного из видо</w:t>
      </w:r>
      <w:r w:rsidR="002F7823">
        <w:rPr>
          <w:rFonts w:ascii="Times New Roman" w:hAnsi="Times New Roman" w:cs="Times New Roman"/>
          <w:sz w:val="28"/>
          <w:szCs w:val="28"/>
        </w:rPr>
        <w:t>в</w:t>
      </w:r>
      <w:r w:rsidRPr="00483D84">
        <w:rPr>
          <w:rFonts w:ascii="Times New Roman" w:hAnsi="Times New Roman" w:cs="Times New Roman"/>
          <w:sz w:val="28"/>
          <w:szCs w:val="28"/>
        </w:rPr>
        <w:t xml:space="preserve"> продукции значение </w:t>
      </w:r>
      <w:proofErr w:type="spellStart"/>
      <w:r w:rsidRPr="00483D84">
        <w:rPr>
          <w:rFonts w:ascii="Times New Roman" w:hAnsi="Times New Roman" w:cs="Times New Roman"/>
          <w:sz w:val="28"/>
          <w:szCs w:val="28"/>
        </w:rPr>
        <w:t>Азаявл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меньше 50, оценке УЛ присваивается значение «0».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7.2. По параметру «Конкурентоспособность продукции» (КП) оценка производится следующим образом.</w:t>
      </w:r>
    </w:p>
    <w:tbl>
      <w:tblPr>
        <w:tblStyle w:val="a3"/>
        <w:tblW w:w="0" w:type="auto"/>
        <w:tblLook w:val="04A0"/>
      </w:tblPr>
      <w:tblGrid>
        <w:gridCol w:w="843"/>
        <w:gridCol w:w="6618"/>
        <w:gridCol w:w="2676"/>
      </w:tblGrid>
      <w:tr w:rsidR="00483D84" w:rsidRPr="002F7823" w:rsidTr="00483D84">
        <w:tc>
          <w:tcPr>
            <w:tcW w:w="846" w:type="dxa"/>
          </w:tcPr>
          <w:p w:rsidR="00483D84" w:rsidRPr="00EA5FB7" w:rsidRDefault="00483D84" w:rsidP="002F7823">
            <w:pPr>
              <w:pStyle w:val="ConsPlusNormal"/>
              <w:tabs>
                <w:tab w:val="left" w:pos="5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83D84" w:rsidRPr="00EA5FB7" w:rsidRDefault="00483D84" w:rsidP="002F78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687" w:type="dxa"/>
          </w:tcPr>
          <w:p w:rsidR="00483D84" w:rsidRPr="00EA5FB7" w:rsidRDefault="00483D84" w:rsidP="002F78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</w:t>
            </w:r>
          </w:p>
          <w:p w:rsidR="00483D84" w:rsidRPr="00EA5FB7" w:rsidRDefault="00483D84" w:rsidP="002F78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(КП)</w:t>
            </w:r>
          </w:p>
        </w:tc>
      </w:tr>
      <w:tr w:rsidR="00483D84" w:rsidRPr="002F7823" w:rsidTr="00483D84">
        <w:tc>
          <w:tcPr>
            <w:tcW w:w="846" w:type="dxa"/>
          </w:tcPr>
          <w:p w:rsidR="00483D84" w:rsidRPr="00EA5FB7" w:rsidRDefault="00483D84" w:rsidP="002F7823">
            <w:pPr>
              <w:pStyle w:val="ConsPlusNormal"/>
              <w:tabs>
                <w:tab w:val="left" w:pos="5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83D84" w:rsidRPr="00EA5FB7" w:rsidRDefault="00483D84" w:rsidP="002F782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Существуют российские аналоги, соответствующие или превышающие по техническим и (или) характеристикам продукцию проекта</w:t>
            </w:r>
          </w:p>
        </w:tc>
        <w:tc>
          <w:tcPr>
            <w:tcW w:w="2687" w:type="dxa"/>
          </w:tcPr>
          <w:p w:rsidR="00483D84" w:rsidRPr="00EA5FB7" w:rsidRDefault="00483D84" w:rsidP="002F78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2F7823" w:rsidTr="00483D84">
        <w:tc>
          <w:tcPr>
            <w:tcW w:w="846" w:type="dxa"/>
          </w:tcPr>
          <w:p w:rsidR="00483D84" w:rsidRPr="00EA5FB7" w:rsidRDefault="00483D84" w:rsidP="002F7823">
            <w:pPr>
              <w:pStyle w:val="ConsPlusNormal"/>
              <w:tabs>
                <w:tab w:val="left" w:pos="5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83D84" w:rsidRPr="00EA5FB7" w:rsidRDefault="00483D84" w:rsidP="002F782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Существующие российские аналоги уступают продукции проекта по ценовым и техническим характеристикам</w:t>
            </w:r>
          </w:p>
        </w:tc>
        <w:tc>
          <w:tcPr>
            <w:tcW w:w="2687" w:type="dxa"/>
          </w:tcPr>
          <w:p w:rsidR="00483D84" w:rsidRPr="00EA5FB7" w:rsidRDefault="00483D84" w:rsidP="002F78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83D84" w:rsidRPr="002F7823" w:rsidTr="00483D84">
        <w:tc>
          <w:tcPr>
            <w:tcW w:w="846" w:type="dxa"/>
          </w:tcPr>
          <w:p w:rsidR="00483D84" w:rsidRPr="00EA5FB7" w:rsidRDefault="00483D84" w:rsidP="002F7823">
            <w:pPr>
              <w:pStyle w:val="ConsPlusNormal"/>
              <w:tabs>
                <w:tab w:val="left" w:pos="5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83D84" w:rsidRPr="00EA5FB7" w:rsidRDefault="00483D84" w:rsidP="002F782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Российские аналоги отсутствуют. Продукция проекта не превосходит современные иностранные аналоги по техническим характеристикам</w:t>
            </w:r>
          </w:p>
        </w:tc>
        <w:tc>
          <w:tcPr>
            <w:tcW w:w="2687" w:type="dxa"/>
          </w:tcPr>
          <w:p w:rsidR="00483D84" w:rsidRPr="00EA5FB7" w:rsidRDefault="00483D84" w:rsidP="002F78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483D84" w:rsidRPr="002F7823" w:rsidTr="00483D84">
        <w:tc>
          <w:tcPr>
            <w:tcW w:w="846" w:type="dxa"/>
          </w:tcPr>
          <w:p w:rsidR="00483D84" w:rsidRPr="00EA5FB7" w:rsidRDefault="00483D84" w:rsidP="002F7823">
            <w:pPr>
              <w:pStyle w:val="ConsPlusNormal"/>
              <w:tabs>
                <w:tab w:val="left" w:pos="5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483D84" w:rsidRPr="00EA5FB7" w:rsidRDefault="00483D84" w:rsidP="002F782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Российские аналоги отсутствуют. Продукция проекта превосходит современные иностранные аналоги по техническим характеристикам или соответствуем им при меньшей стоимости</w:t>
            </w:r>
          </w:p>
        </w:tc>
        <w:tc>
          <w:tcPr>
            <w:tcW w:w="2687" w:type="dxa"/>
          </w:tcPr>
          <w:p w:rsidR="00483D84" w:rsidRPr="00EA5FB7" w:rsidRDefault="00483D84" w:rsidP="002F78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483D84" w:rsidRPr="00EA5FB7" w:rsidRDefault="00483D84" w:rsidP="00EA5FB7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FB7">
        <w:rPr>
          <w:rFonts w:ascii="Times New Roman" w:hAnsi="Times New Roman" w:cs="Times New Roman"/>
          <w:sz w:val="28"/>
          <w:szCs w:val="28"/>
        </w:rPr>
        <w:t>7.3. По параметру «Наличие российских аналогов» (НРА) оценка производится следующим образом.</w:t>
      </w:r>
    </w:p>
    <w:tbl>
      <w:tblPr>
        <w:tblStyle w:val="a3"/>
        <w:tblW w:w="0" w:type="auto"/>
        <w:tblLook w:val="04A0"/>
      </w:tblPr>
      <w:tblGrid>
        <w:gridCol w:w="842"/>
        <w:gridCol w:w="6619"/>
        <w:gridCol w:w="2676"/>
      </w:tblGrid>
      <w:tr w:rsidR="00483D84" w:rsidRPr="00EA5FB7" w:rsidTr="00483D84">
        <w:tc>
          <w:tcPr>
            <w:tcW w:w="846" w:type="dxa"/>
          </w:tcPr>
          <w:p w:rsidR="00483D84" w:rsidRPr="00EA5FB7" w:rsidRDefault="00483D84" w:rsidP="00EA5F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83D84" w:rsidRPr="00EA5FB7" w:rsidRDefault="00483D84" w:rsidP="00EA5F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687" w:type="dxa"/>
          </w:tcPr>
          <w:p w:rsidR="00483D84" w:rsidRPr="00EA5FB7" w:rsidRDefault="00483D84" w:rsidP="00EA5F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</w:t>
            </w:r>
          </w:p>
          <w:p w:rsidR="00483D84" w:rsidRPr="00EA5FB7" w:rsidRDefault="00483D84" w:rsidP="00EA5F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(НРА)</w:t>
            </w:r>
          </w:p>
        </w:tc>
      </w:tr>
      <w:tr w:rsidR="00483D84" w:rsidRPr="00EA5FB7" w:rsidTr="00483D84">
        <w:tc>
          <w:tcPr>
            <w:tcW w:w="846" w:type="dxa"/>
          </w:tcPr>
          <w:p w:rsidR="00483D84" w:rsidRPr="00EA5FB7" w:rsidRDefault="00483D84" w:rsidP="00EA5F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83D84" w:rsidRPr="00EA5FB7" w:rsidRDefault="00483D84" w:rsidP="00EA5F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В Едином реестре российской радиоэлектронной продукции существует 2 и более аналога заявляемой в рамках комплексного проекта продукции</w:t>
            </w:r>
          </w:p>
        </w:tc>
        <w:tc>
          <w:tcPr>
            <w:tcW w:w="2687" w:type="dxa"/>
          </w:tcPr>
          <w:p w:rsidR="00483D84" w:rsidRPr="00EA5FB7" w:rsidRDefault="00483D84" w:rsidP="00EA5F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EA5FB7" w:rsidTr="00483D84">
        <w:tc>
          <w:tcPr>
            <w:tcW w:w="846" w:type="dxa"/>
          </w:tcPr>
          <w:p w:rsidR="00483D84" w:rsidRPr="00EA5FB7" w:rsidRDefault="00483D84" w:rsidP="00EA5F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83D84" w:rsidRPr="00EA5FB7" w:rsidRDefault="00483D84" w:rsidP="00EA5F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В Едином реестре российской радиоэлектронной продукции существует не более 1 аналога заявляемой в рамках комплексного проекта продукции</w:t>
            </w:r>
          </w:p>
        </w:tc>
        <w:tc>
          <w:tcPr>
            <w:tcW w:w="2687" w:type="dxa"/>
          </w:tcPr>
          <w:p w:rsidR="00483D84" w:rsidRPr="00EA5FB7" w:rsidRDefault="00483D84" w:rsidP="00EA5F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B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7.4. По параметру «Наличие в плане </w:t>
      </w:r>
      <w:proofErr w:type="spellStart"/>
      <w:r w:rsidRPr="00483D84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>» (НПИ) оценка производится следующим образом.</w:t>
      </w:r>
    </w:p>
    <w:tbl>
      <w:tblPr>
        <w:tblStyle w:val="a3"/>
        <w:tblW w:w="0" w:type="auto"/>
        <w:tblLook w:val="04A0"/>
      </w:tblPr>
      <w:tblGrid>
        <w:gridCol w:w="842"/>
        <w:gridCol w:w="6619"/>
        <w:gridCol w:w="2676"/>
      </w:tblGrid>
      <w:tr w:rsidR="00483D84" w:rsidRPr="008A715D" w:rsidTr="00483D84">
        <w:tc>
          <w:tcPr>
            <w:tcW w:w="846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687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</w:t>
            </w:r>
          </w:p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(НПИ)</w:t>
            </w:r>
          </w:p>
        </w:tc>
      </w:tr>
      <w:tr w:rsidR="00483D84" w:rsidRPr="008A715D" w:rsidTr="00483D84">
        <w:tc>
          <w:tcPr>
            <w:tcW w:w="846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</w:tcPr>
          <w:p w:rsidR="00483D84" w:rsidRPr="008A715D" w:rsidRDefault="00483D84" w:rsidP="008A715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 xml:space="preserve">Заявляемый продукт не соответствует отраслевому плану </w:t>
            </w:r>
            <w:proofErr w:type="spellStart"/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8A715D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промышленности</w:t>
            </w:r>
          </w:p>
        </w:tc>
        <w:tc>
          <w:tcPr>
            <w:tcW w:w="2687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8A715D" w:rsidTr="00483D84">
        <w:tc>
          <w:tcPr>
            <w:tcW w:w="846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83D84" w:rsidRPr="008A715D" w:rsidRDefault="00483D84" w:rsidP="008A715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 xml:space="preserve">Заявляемый продукт соответствует одной из позиций в отраслевом плане </w:t>
            </w:r>
            <w:proofErr w:type="spellStart"/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8A715D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</w:t>
            </w:r>
            <w:r w:rsidRPr="008A7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</w:t>
            </w:r>
          </w:p>
        </w:tc>
        <w:tc>
          <w:tcPr>
            <w:tcW w:w="2687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lastRenderedPageBreak/>
        <w:t>7.5. По параметру «Уровень готовности технологий» (УГТ) оценка производится следующим образом.</w:t>
      </w:r>
    </w:p>
    <w:tbl>
      <w:tblPr>
        <w:tblStyle w:val="a3"/>
        <w:tblW w:w="0" w:type="auto"/>
        <w:tblLook w:val="04A0"/>
      </w:tblPr>
      <w:tblGrid>
        <w:gridCol w:w="842"/>
        <w:gridCol w:w="6618"/>
        <w:gridCol w:w="2677"/>
      </w:tblGrid>
      <w:tr w:rsidR="00483D84" w:rsidRPr="00483D84" w:rsidTr="00483D84">
        <w:tc>
          <w:tcPr>
            <w:tcW w:w="846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687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</w:t>
            </w:r>
          </w:p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(УГТ)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</w:tcPr>
          <w:p w:rsidR="00483D84" w:rsidRPr="008A715D" w:rsidRDefault="00483D84" w:rsidP="008A715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Уровень готовности технологий, определяемый в соответствии с ГОСТ Р 58048-2017 меньше 3 и больше 7</w:t>
            </w:r>
          </w:p>
        </w:tc>
        <w:tc>
          <w:tcPr>
            <w:tcW w:w="2687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83D84" w:rsidRPr="008A715D" w:rsidRDefault="00483D84" w:rsidP="008A715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Уровень готовности технологий, определяемый в соответствии с ГОСТ Р 58048-2017 больше или равен 3, но меньше или равен 7</w:t>
            </w:r>
          </w:p>
        </w:tc>
        <w:tc>
          <w:tcPr>
            <w:tcW w:w="2687" w:type="dxa"/>
          </w:tcPr>
          <w:p w:rsidR="00483D84" w:rsidRPr="008A715D" w:rsidRDefault="00483D84" w:rsidP="008A715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7.6. Итоговая индивидуальная оценка эксперта рабочей группы «Технологический суверенитет» (ТС) определяется как сумма баллов по указанным параметрам: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ТС=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ТС+КП+НПИ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×НРА×УГТ.</m:t>
          </m:r>
        </m:oMath>
      </m:oMathPara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7.7. Итоговая оценка комплексного проекта по критерию «Технологический суверенитет» (ОТС) рассчитывается следующим образом:</w:t>
      </w:r>
    </w:p>
    <w:p w:rsidR="00D16669" w:rsidRDefault="00510833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="00483D84" w:rsidRPr="00483D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3D84" w:rsidRPr="00483D84" w:rsidRDefault="00D16669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3D84" w:rsidRPr="00483D8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D84">
        <w:rPr>
          <w:rFonts w:ascii="Times New Roman" w:hAnsi="Times New Roman" w:cs="Times New Roman"/>
          <w:sz w:val="28"/>
          <w:szCs w:val="28"/>
        </w:rPr>
        <w:t>ТСi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– индивидуальная оценка члена рабочей группы «Технологический суверенитет», осуществляющего оценку комплексного проекта, определяемая в соответствии с пунктом 7.7</w:t>
      </w:r>
      <w:r w:rsidR="0069395C">
        <w:rPr>
          <w:rFonts w:ascii="Times New Roman" w:hAnsi="Times New Roman" w:cs="Times New Roman"/>
          <w:sz w:val="28"/>
          <w:szCs w:val="28"/>
        </w:rPr>
        <w:t xml:space="preserve"> настоящей Методики</w:t>
      </w:r>
      <w:r w:rsidRPr="00483D84">
        <w:rPr>
          <w:rFonts w:ascii="Times New Roman" w:hAnsi="Times New Roman" w:cs="Times New Roman"/>
          <w:sz w:val="28"/>
          <w:szCs w:val="28"/>
        </w:rPr>
        <w:t>;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N - общее количество членов рабочей группы «Технологический суверенитет», осуществляющих оценку комплексного проекта (не менее 3 членов).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8. В рамках рабочей группы «Производственный потенциал» оценка производится по параметрам «Локализация производства» (ЛП), «Инвестиции в производство» (ИП).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8.1. По параметру «Локализация производства» (ЛП) оценка производится следующим образом.</w:t>
      </w:r>
    </w:p>
    <w:p w:rsidR="00D16669" w:rsidRPr="00D16669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ЛП=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, </m:t>
          </m:r>
        </m:oMath>
      </m:oMathPara>
    </w:p>
    <w:p w:rsidR="00D16669" w:rsidRPr="00D16669" w:rsidRDefault="001A4141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16669">
        <w:rPr>
          <w:rFonts w:ascii="Times New Roman" w:hAnsi="Times New Roman" w:cs="Times New Roman"/>
          <w:sz w:val="28"/>
          <w:szCs w:val="28"/>
        </w:rPr>
        <w:t>де:</w:t>
      </w:r>
    </w:p>
    <w:p w:rsid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-</w:t>
      </w:r>
      <w:r w:rsidRPr="00483D84">
        <w:rPr>
          <w:rFonts w:ascii="Times New Roman" w:hAnsi="Times New Roman" w:cs="Times New Roman"/>
          <w:sz w:val="28"/>
          <w:szCs w:val="28"/>
        </w:rPr>
        <w:tab/>
        <w:t>ЛП</w:t>
      </w:r>
      <w:r w:rsidRPr="00D16669">
        <w:rPr>
          <w:rFonts w:ascii="Times New Roman" w:hAnsi="Times New Roman" w:cs="Times New Roman"/>
          <w:sz w:val="20"/>
          <w:szCs w:val="28"/>
        </w:rPr>
        <w:t>Д</w:t>
      </w:r>
      <w:r w:rsidRPr="00483D84">
        <w:rPr>
          <w:rFonts w:ascii="Times New Roman" w:hAnsi="Times New Roman" w:cs="Times New Roman"/>
          <w:sz w:val="28"/>
          <w:szCs w:val="28"/>
        </w:rPr>
        <w:t xml:space="preserve"> определяется следующим образом:</w:t>
      </w:r>
    </w:p>
    <w:p w:rsidR="00A13FE4" w:rsidRPr="00D16669" w:rsidRDefault="00A13FE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2"/>
        <w:gridCol w:w="6619"/>
        <w:gridCol w:w="2676"/>
      </w:tblGrid>
      <w:tr w:rsidR="00483D84" w:rsidRPr="00483D84" w:rsidTr="00483D84">
        <w:tc>
          <w:tcPr>
            <w:tcW w:w="846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687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</w:t>
            </w:r>
          </w:p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(ЛПД)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83D84" w:rsidRPr="00A13FE4" w:rsidRDefault="00483D84" w:rsidP="00A1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не планируется разработка конструкторской, программной и эксплуатационной и технологической документации</w:t>
            </w:r>
          </w:p>
        </w:tc>
        <w:tc>
          <w:tcPr>
            <w:tcW w:w="2687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83D84" w:rsidRPr="00A13FE4" w:rsidRDefault="00483D84" w:rsidP="00A1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в ходе реализации комплексного проекта планируется выполнение части из следующих операций: разработка конструкторской (включая архитектурное решение, схему принципиальную электрическую, шаблон печатных плат электронных блоков для продукции), программной, эксплуатационной и технологической документации на продукцию и (или) получение прав на такую документацию в объеме, достаточном для его производства, модернизации и развития</w:t>
            </w:r>
          </w:p>
        </w:tc>
        <w:tc>
          <w:tcPr>
            <w:tcW w:w="2687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83D84" w:rsidRPr="00A13FE4" w:rsidRDefault="00483D84" w:rsidP="00A1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в ходе реализации комплексного проекта планируется разработка конструкторской (включая архитектурное решение, схему принципиальную электрическую, шаблон печатных плат электронных блоков для продукции), программной, эксплуатационной и технологической документации на продукцию и (или) получение прав на такую документацию в объеме, достаточном для его производства, модернизации и развития</w:t>
            </w:r>
          </w:p>
        </w:tc>
        <w:tc>
          <w:tcPr>
            <w:tcW w:w="2687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-</w:t>
      </w:r>
      <w:r w:rsidRPr="00483D84">
        <w:rPr>
          <w:rFonts w:ascii="Times New Roman" w:hAnsi="Times New Roman" w:cs="Times New Roman"/>
          <w:sz w:val="28"/>
          <w:szCs w:val="28"/>
        </w:rPr>
        <w:tab/>
        <w:t>ЛП</w:t>
      </w:r>
      <w:r w:rsidRPr="00A13FE4">
        <w:rPr>
          <w:rFonts w:ascii="Times New Roman" w:hAnsi="Times New Roman" w:cs="Times New Roman"/>
          <w:sz w:val="20"/>
          <w:szCs w:val="28"/>
        </w:rPr>
        <w:t>П</w:t>
      </w:r>
      <w:r w:rsidRPr="00483D84">
        <w:rPr>
          <w:rFonts w:ascii="Times New Roman" w:hAnsi="Times New Roman" w:cs="Times New Roman"/>
          <w:sz w:val="28"/>
          <w:szCs w:val="28"/>
        </w:rPr>
        <w:t xml:space="preserve"> определяется следующим образом:</w:t>
      </w:r>
    </w:p>
    <w:tbl>
      <w:tblPr>
        <w:tblStyle w:val="a3"/>
        <w:tblW w:w="0" w:type="auto"/>
        <w:tblLook w:val="04A0"/>
      </w:tblPr>
      <w:tblGrid>
        <w:gridCol w:w="842"/>
        <w:gridCol w:w="6619"/>
        <w:gridCol w:w="2676"/>
      </w:tblGrid>
      <w:tr w:rsidR="00483D84" w:rsidRPr="00A13FE4" w:rsidTr="00483D84">
        <w:tc>
          <w:tcPr>
            <w:tcW w:w="846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687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</w:t>
            </w:r>
          </w:p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(ЛПП)</w:t>
            </w:r>
          </w:p>
        </w:tc>
      </w:tr>
      <w:tr w:rsidR="00483D84" w:rsidRPr="00A13FE4" w:rsidTr="00483D84">
        <w:tc>
          <w:tcPr>
            <w:tcW w:w="846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83D84" w:rsidRPr="00A13FE4" w:rsidRDefault="00483D84" w:rsidP="00A1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не планируется производство продукции на территории Российской Федерации</w:t>
            </w:r>
          </w:p>
        </w:tc>
        <w:tc>
          <w:tcPr>
            <w:tcW w:w="2687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A13FE4" w:rsidTr="00483D84">
        <w:tc>
          <w:tcPr>
            <w:tcW w:w="846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83D84" w:rsidRPr="00A13FE4" w:rsidRDefault="00483D84" w:rsidP="00A1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в ходе реализации комплексного проекта планируется выполнение части из следующих операций: производство электронных блоков, монтаж элементов на печатные платы, установка программного обеспечения продукции, финальная сборка и функциональное тестирование продукции осуществляются на собственных производственных площадях заявителя либо на производственных площадях производителя на территории Российской Федерации</w:t>
            </w:r>
          </w:p>
        </w:tc>
        <w:tc>
          <w:tcPr>
            <w:tcW w:w="2687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83D84" w:rsidRPr="00A13FE4" w:rsidTr="00483D84">
        <w:tc>
          <w:tcPr>
            <w:tcW w:w="846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83D84" w:rsidRPr="00A13FE4" w:rsidRDefault="00483D84" w:rsidP="00A1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в ходе реализации комплексного проекта производство продукции будет осуществляться на территории Российской Федерации, а именно: производство электронных блоков, монтаж элементов на печатные платы, установка программного обеспечения продукции, финальная сборка и функциональное тестирование продукции осуществляются на собственных производственных площадях заявителя либо на производственных площадях производителя на территории Российской Федерации</w:t>
            </w:r>
          </w:p>
        </w:tc>
        <w:tc>
          <w:tcPr>
            <w:tcW w:w="2687" w:type="dxa"/>
          </w:tcPr>
          <w:p w:rsidR="00483D84" w:rsidRPr="00A13FE4" w:rsidRDefault="00483D84" w:rsidP="00A1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4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</w:tbl>
    <w:p w:rsid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-</w:t>
      </w:r>
      <w:r w:rsidRPr="00483D84">
        <w:rPr>
          <w:rFonts w:ascii="Times New Roman" w:hAnsi="Times New Roman" w:cs="Times New Roman"/>
          <w:sz w:val="28"/>
          <w:szCs w:val="28"/>
        </w:rPr>
        <w:tab/>
        <w:t>ЛП</w:t>
      </w:r>
      <w:r w:rsidRPr="001A4141">
        <w:rPr>
          <w:rFonts w:ascii="Times New Roman" w:hAnsi="Times New Roman" w:cs="Times New Roman"/>
          <w:sz w:val="20"/>
          <w:szCs w:val="28"/>
        </w:rPr>
        <w:t>С</w:t>
      </w:r>
      <w:r w:rsidRPr="00483D84">
        <w:rPr>
          <w:rFonts w:ascii="Times New Roman" w:hAnsi="Times New Roman" w:cs="Times New Roman"/>
          <w:sz w:val="28"/>
          <w:szCs w:val="28"/>
        </w:rPr>
        <w:t xml:space="preserve"> определяется следующим образом:</w:t>
      </w:r>
    </w:p>
    <w:p w:rsidR="00115D88" w:rsidRDefault="00115D88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D88" w:rsidRPr="00483D84" w:rsidRDefault="00115D88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2"/>
        <w:gridCol w:w="6618"/>
        <w:gridCol w:w="2677"/>
      </w:tblGrid>
      <w:tr w:rsidR="00483D84" w:rsidRPr="00483D84" w:rsidTr="00483D84">
        <w:tc>
          <w:tcPr>
            <w:tcW w:w="846" w:type="dxa"/>
          </w:tcPr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687" w:type="dxa"/>
          </w:tcPr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</w:t>
            </w:r>
          </w:p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(ЛПС)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83D84" w:rsidRPr="00115D88" w:rsidRDefault="00483D84" w:rsidP="00115D8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не планируется организация тестового и сервисного сопровождения продукции комплексного проекта</w:t>
            </w:r>
          </w:p>
        </w:tc>
        <w:tc>
          <w:tcPr>
            <w:tcW w:w="2687" w:type="dxa"/>
          </w:tcPr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83D84" w:rsidRPr="00115D88" w:rsidRDefault="00483D84" w:rsidP="00115D8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в ходе реализации комплексного проекта планируется частичное обеспечение тестового и сервисного сопровождения продукции комплексного проекта</w:t>
            </w:r>
          </w:p>
        </w:tc>
        <w:tc>
          <w:tcPr>
            <w:tcW w:w="2687" w:type="dxa"/>
          </w:tcPr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83D84" w:rsidRPr="00115D88" w:rsidRDefault="00483D84" w:rsidP="00115D8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в ходе реализации комплексного проекта будет обеспечен полный цикл тестового и сервисного сопровождения продукции и программного обеспечения, используемого в его составе, на территории Российской Федерации</w:t>
            </w:r>
          </w:p>
        </w:tc>
        <w:tc>
          <w:tcPr>
            <w:tcW w:w="2687" w:type="dxa"/>
          </w:tcPr>
          <w:p w:rsidR="00483D84" w:rsidRPr="00115D88" w:rsidRDefault="00483D84" w:rsidP="00115D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88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8.2. По параметру «Инвестиции в производство» (ИП) оценка производится следующим образом.</w:t>
      </w:r>
    </w:p>
    <w:tbl>
      <w:tblPr>
        <w:tblStyle w:val="a3"/>
        <w:tblW w:w="0" w:type="auto"/>
        <w:tblLook w:val="04A0"/>
      </w:tblPr>
      <w:tblGrid>
        <w:gridCol w:w="842"/>
        <w:gridCol w:w="6619"/>
        <w:gridCol w:w="2676"/>
      </w:tblGrid>
      <w:tr w:rsidR="00483D84" w:rsidRPr="00483D84" w:rsidTr="00483D84">
        <w:tc>
          <w:tcPr>
            <w:tcW w:w="846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2687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Количество присеваемых баллов</w:t>
            </w:r>
          </w:p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(ИП)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83D84" w:rsidRPr="00686967" w:rsidRDefault="00483D84" w:rsidP="0068696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Заявитель не планирует инвестиции в развитие производственных мощностей</w:t>
            </w:r>
          </w:p>
        </w:tc>
        <w:tc>
          <w:tcPr>
            <w:tcW w:w="2687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83D84" w:rsidRPr="00686967" w:rsidRDefault="00483D84" w:rsidP="0068696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Заявитель планирует инвестиции в развитие производственных мощностей в размене не более 10% от общей суммы запрашиваемой субсидии</w:t>
            </w:r>
          </w:p>
        </w:tc>
        <w:tc>
          <w:tcPr>
            <w:tcW w:w="2687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83D84" w:rsidRPr="00686967" w:rsidRDefault="00483D84" w:rsidP="0068696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Заявитель планирует инвестиции в развитие производственных мощностей в размене от 10% (включительно) до 20% от общей суммы запрашиваемой субсидии</w:t>
            </w:r>
          </w:p>
        </w:tc>
        <w:tc>
          <w:tcPr>
            <w:tcW w:w="2687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483D84" w:rsidRPr="00686967" w:rsidRDefault="00483D84" w:rsidP="0068696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Заявитель планирует инвестиции в развитие производственных мощностей в размене от 20% (включительно) до 30% от общей суммы запрашиваемой субсидии</w:t>
            </w:r>
          </w:p>
        </w:tc>
        <w:tc>
          <w:tcPr>
            <w:tcW w:w="2687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483D84" w:rsidRPr="00483D84" w:rsidTr="00483D84">
        <w:tc>
          <w:tcPr>
            <w:tcW w:w="846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483D84" w:rsidRPr="00686967" w:rsidRDefault="00483D84" w:rsidP="0068696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Заявитель планирует инвестиции в развитие производственных мощностей в размене от 30% (включительно) от общей суммы запрашиваемой субсидии</w:t>
            </w:r>
          </w:p>
        </w:tc>
        <w:tc>
          <w:tcPr>
            <w:tcW w:w="2687" w:type="dxa"/>
          </w:tcPr>
          <w:p w:rsidR="00483D84" w:rsidRPr="00686967" w:rsidRDefault="00483D84" w:rsidP="006869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8.3. Итоговая индивидуальная оценка эксперта рабочей группы «Производственный потенциал» (ПП) определяется как сумма баллов по указанным параметрам: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ПП=ЛП+ИП</m:t>
          </m:r>
        </m:oMath>
      </m:oMathPara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8.4. Итоговая оценка комплексного проекта по критерию «Производственный потенциал» (ОПП) рассчитывается следующим образом:</w:t>
      </w:r>
    </w:p>
    <w:p w:rsidR="00686967" w:rsidRDefault="00510833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="00483D84" w:rsidRPr="00483D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3D84" w:rsidRPr="00483D84" w:rsidRDefault="00686967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3D84" w:rsidRPr="00483D8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D84">
        <w:rPr>
          <w:rFonts w:ascii="Times New Roman" w:hAnsi="Times New Roman" w:cs="Times New Roman"/>
          <w:sz w:val="28"/>
          <w:szCs w:val="28"/>
        </w:rPr>
        <w:lastRenderedPageBreak/>
        <w:t>ППi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– индивидуальная оценка члена рабочей группы «Производственный потенциал», осуществляющего оценку комплексного проекта, определяемая в соответствии с пунктом 8.3</w:t>
      </w:r>
      <w:r w:rsidR="0069395C">
        <w:rPr>
          <w:rFonts w:ascii="Times New Roman" w:hAnsi="Times New Roman" w:cs="Times New Roman"/>
          <w:sz w:val="28"/>
          <w:szCs w:val="28"/>
        </w:rPr>
        <w:t xml:space="preserve"> настоящей Методики</w:t>
      </w:r>
      <w:r w:rsidRPr="00483D84">
        <w:rPr>
          <w:rFonts w:ascii="Times New Roman" w:hAnsi="Times New Roman" w:cs="Times New Roman"/>
          <w:sz w:val="28"/>
          <w:szCs w:val="28"/>
        </w:rPr>
        <w:t>;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N - общее количество членов рабочей группы «Производственный потенциал», осуществляющих оценку комплексного проекта (не менее 3 членов).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9. В рамках рабочей группы «Финансовая обоснованность» оценка производится по параметрам «</w:t>
      </w:r>
      <w:proofErr w:type="spellStart"/>
      <w:r w:rsidRPr="00483D84">
        <w:rPr>
          <w:rFonts w:ascii="Times New Roman" w:hAnsi="Times New Roman" w:cs="Times New Roman"/>
          <w:sz w:val="28"/>
          <w:szCs w:val="28"/>
        </w:rPr>
        <w:t>Инвестициионная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эффективность проекта» (ИОП), «Структура затрат комплексного проекта» (СЗ), «Стоимость комплексного проекта» (СКП), «Соотношение выручка/субсидия» (СВС).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9.1. По параметру «Инвестиционная эффективность проекта» (ИОП) оценка производится следующим образом.</w:t>
      </w:r>
    </w:p>
    <w:tbl>
      <w:tblPr>
        <w:tblStyle w:val="a3"/>
        <w:tblW w:w="10262" w:type="dxa"/>
        <w:tblLook w:val="04A0"/>
      </w:tblPr>
      <w:tblGrid>
        <w:gridCol w:w="988"/>
        <w:gridCol w:w="6174"/>
        <w:gridCol w:w="3100"/>
      </w:tblGrid>
      <w:tr w:rsidR="00483D84" w:rsidRPr="00483D84" w:rsidTr="00483D84">
        <w:trPr>
          <w:trHeight w:val="476"/>
        </w:trPr>
        <w:tc>
          <w:tcPr>
            <w:tcW w:w="988" w:type="dxa"/>
          </w:tcPr>
          <w:p w:rsidR="00483D84" w:rsidRPr="001A4141" w:rsidRDefault="00483D84" w:rsidP="001A41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4" w:type="dxa"/>
          </w:tcPr>
          <w:p w:rsidR="00483D84" w:rsidRPr="001A4141" w:rsidRDefault="00483D84" w:rsidP="001A41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41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3100" w:type="dxa"/>
          </w:tcPr>
          <w:p w:rsidR="00483D84" w:rsidRPr="001A4141" w:rsidRDefault="00483D84" w:rsidP="001A41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41">
              <w:rPr>
                <w:rFonts w:ascii="Times New Roman" w:hAnsi="Times New Roman" w:cs="Times New Roman"/>
                <w:sz w:val="24"/>
                <w:szCs w:val="24"/>
              </w:rPr>
              <w:t>Количество присваиваемых баллов (ИОП)</w:t>
            </w:r>
          </w:p>
        </w:tc>
      </w:tr>
      <w:tr w:rsidR="00483D84" w:rsidRPr="00483D84" w:rsidTr="00483D84">
        <w:trPr>
          <w:trHeight w:val="547"/>
        </w:trPr>
        <w:tc>
          <w:tcPr>
            <w:tcW w:w="988" w:type="dxa"/>
          </w:tcPr>
          <w:p w:rsidR="00483D84" w:rsidRPr="001A4141" w:rsidRDefault="00483D84" w:rsidP="001A41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4" w:type="dxa"/>
          </w:tcPr>
          <w:p w:rsidR="00483D84" w:rsidRPr="001A4141" w:rsidRDefault="00483D84" w:rsidP="001A414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41">
              <w:rPr>
                <w:rFonts w:ascii="Times New Roman" w:hAnsi="Times New Roman" w:cs="Times New Roman"/>
                <w:sz w:val="24"/>
                <w:szCs w:val="24"/>
              </w:rPr>
              <w:t>Значение чистой приведенной стоимости комплексного проекта больше 0</w:t>
            </w:r>
          </w:p>
        </w:tc>
        <w:tc>
          <w:tcPr>
            <w:tcW w:w="3100" w:type="dxa"/>
          </w:tcPr>
          <w:p w:rsidR="00483D84" w:rsidRPr="001A4141" w:rsidRDefault="00483D84" w:rsidP="001A41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41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483D84" w:rsidTr="00483D84">
        <w:trPr>
          <w:trHeight w:val="317"/>
        </w:trPr>
        <w:tc>
          <w:tcPr>
            <w:tcW w:w="988" w:type="dxa"/>
          </w:tcPr>
          <w:p w:rsidR="00483D84" w:rsidRPr="001A4141" w:rsidRDefault="00483D84" w:rsidP="001A41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4" w:type="dxa"/>
          </w:tcPr>
          <w:p w:rsidR="00483D84" w:rsidRPr="001A4141" w:rsidRDefault="00483D84" w:rsidP="001A414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41">
              <w:rPr>
                <w:rFonts w:ascii="Times New Roman" w:hAnsi="Times New Roman" w:cs="Times New Roman"/>
                <w:sz w:val="24"/>
                <w:szCs w:val="24"/>
              </w:rPr>
              <w:t>Значение чистой приведенной стоимости комплексного проекта меньше или равно 0</w:t>
            </w:r>
          </w:p>
        </w:tc>
        <w:tc>
          <w:tcPr>
            <w:tcW w:w="3100" w:type="dxa"/>
          </w:tcPr>
          <w:p w:rsidR="00483D84" w:rsidRPr="001A4141" w:rsidRDefault="00483D84" w:rsidP="001A41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4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Чистая приведенная стоимость (ЧПС) комплексного проекта определяется </w:t>
      </w:r>
      <w:r w:rsidRPr="00483D84">
        <w:rPr>
          <w:rFonts w:ascii="Times New Roman" w:hAnsi="Times New Roman" w:cs="Times New Roman"/>
          <w:sz w:val="28"/>
          <w:szCs w:val="28"/>
        </w:rPr>
        <w:br/>
        <w:t>по формуле: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ЧПС=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eqArr>
                  <m:eqArr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Валовая прибыль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в 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-ом году </m:t>
                    </m:r>
                  </m:e>
                </m:eqAr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-Общий объем инвестиций в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-ом году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1+ставка дисконтирования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den>
                    </m:f>
                  </m:sup>
                </m:sSup>
              </m:den>
            </m:f>
          </m:e>
        </m:nary>
      </m:oMath>
      <w:r w:rsidRPr="00483D84">
        <w:rPr>
          <w:rFonts w:ascii="Times New Roman" w:hAnsi="Times New Roman" w:cs="Times New Roman"/>
          <w:sz w:val="28"/>
          <w:szCs w:val="28"/>
        </w:rPr>
        <w:t>,</w:t>
      </w:r>
    </w:p>
    <w:p w:rsidR="00752D16" w:rsidRDefault="00752D16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3D84" w:rsidRPr="00483D8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ставка дисконтирования определяется при разработке документов, подаваемых на отбор, и в соответствии с актуальной ставкой по купонным облигациям федерального займа Российской Федерации со сроком погашения 10 лет на дату объявления отбора;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M – количество лет реализации комплексного проекта.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9.2. По параметру «Структура затрат комплексного проекта» (СЗ) оценка производится следующим образом.</w:t>
      </w:r>
    </w:p>
    <w:tbl>
      <w:tblPr>
        <w:tblStyle w:val="a3"/>
        <w:tblW w:w="10262" w:type="dxa"/>
        <w:tblLook w:val="04A0"/>
      </w:tblPr>
      <w:tblGrid>
        <w:gridCol w:w="988"/>
        <w:gridCol w:w="6174"/>
        <w:gridCol w:w="3100"/>
      </w:tblGrid>
      <w:tr w:rsidR="00483D84" w:rsidRPr="00752D16" w:rsidTr="00483D84">
        <w:trPr>
          <w:trHeight w:val="476"/>
        </w:trPr>
        <w:tc>
          <w:tcPr>
            <w:tcW w:w="988" w:type="dxa"/>
          </w:tcPr>
          <w:p w:rsidR="00483D84" w:rsidRPr="00752D16" w:rsidRDefault="00483D84" w:rsidP="00752D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D84" w:rsidRPr="00752D16" w:rsidRDefault="00483D84" w:rsidP="00752D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74" w:type="dxa"/>
          </w:tcPr>
          <w:p w:rsidR="00483D84" w:rsidRPr="00752D16" w:rsidRDefault="00483D84" w:rsidP="00752D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3100" w:type="dxa"/>
          </w:tcPr>
          <w:p w:rsidR="00483D84" w:rsidRPr="00752D16" w:rsidRDefault="00483D84" w:rsidP="00752D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Количество присваиваемых баллов (CЗ)</w:t>
            </w:r>
          </w:p>
        </w:tc>
      </w:tr>
      <w:tr w:rsidR="00483D84" w:rsidRPr="00752D16" w:rsidTr="00483D84">
        <w:trPr>
          <w:trHeight w:val="547"/>
        </w:trPr>
        <w:tc>
          <w:tcPr>
            <w:tcW w:w="988" w:type="dxa"/>
          </w:tcPr>
          <w:p w:rsidR="00483D84" w:rsidRPr="00752D16" w:rsidRDefault="00483D84" w:rsidP="00752D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4" w:type="dxa"/>
            <w:vAlign w:val="center"/>
          </w:tcPr>
          <w:p w:rsidR="00483D84" w:rsidRPr="00752D16" w:rsidRDefault="00483D84" w:rsidP="00752D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Структура затрат комплексного проекта не соответствует текущему статусу реализации проекта и бизнес-плану</w:t>
            </w:r>
          </w:p>
        </w:tc>
        <w:tc>
          <w:tcPr>
            <w:tcW w:w="3100" w:type="dxa"/>
          </w:tcPr>
          <w:p w:rsidR="00483D84" w:rsidRPr="00752D16" w:rsidRDefault="00483D84" w:rsidP="00752D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752D16" w:rsidTr="00483D84">
        <w:trPr>
          <w:trHeight w:val="317"/>
        </w:trPr>
        <w:tc>
          <w:tcPr>
            <w:tcW w:w="988" w:type="dxa"/>
          </w:tcPr>
          <w:p w:rsidR="00483D84" w:rsidRPr="00752D16" w:rsidRDefault="00483D84" w:rsidP="00752D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4" w:type="dxa"/>
            <w:vAlign w:val="center"/>
          </w:tcPr>
          <w:p w:rsidR="00483D84" w:rsidRPr="00752D16" w:rsidRDefault="00483D84" w:rsidP="00752D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Структура затрат комплексного проекта соответствует текущему статусу реализации проекта и бизнес-плану</w:t>
            </w:r>
          </w:p>
        </w:tc>
        <w:tc>
          <w:tcPr>
            <w:tcW w:w="3100" w:type="dxa"/>
          </w:tcPr>
          <w:p w:rsidR="00483D84" w:rsidRPr="00752D16" w:rsidRDefault="00483D84" w:rsidP="00752D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483D84" w:rsidRPr="00752D16" w:rsidRDefault="00483D84" w:rsidP="00752D1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9.3. По параметру «Стоимость комплексного проекта» (СКП) оценка производится следующим образом.</w:t>
      </w:r>
    </w:p>
    <w:tbl>
      <w:tblPr>
        <w:tblStyle w:val="a3"/>
        <w:tblW w:w="10262" w:type="dxa"/>
        <w:tblLook w:val="04A0"/>
      </w:tblPr>
      <w:tblGrid>
        <w:gridCol w:w="988"/>
        <w:gridCol w:w="6174"/>
        <w:gridCol w:w="3100"/>
      </w:tblGrid>
      <w:tr w:rsidR="00483D84" w:rsidRPr="00A804F2" w:rsidTr="00483D84">
        <w:trPr>
          <w:trHeight w:val="476"/>
        </w:trPr>
        <w:tc>
          <w:tcPr>
            <w:tcW w:w="988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74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3100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Количество присваиваемых баллов (CКП)</w:t>
            </w:r>
          </w:p>
        </w:tc>
      </w:tr>
      <w:tr w:rsidR="00483D84" w:rsidRPr="00A804F2" w:rsidTr="00483D84">
        <w:trPr>
          <w:trHeight w:val="547"/>
        </w:trPr>
        <w:tc>
          <w:tcPr>
            <w:tcW w:w="988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4" w:type="dxa"/>
            <w:vAlign w:val="center"/>
          </w:tcPr>
          <w:p w:rsidR="00483D84" w:rsidRPr="00A804F2" w:rsidRDefault="00483D84" w:rsidP="00A804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Стоимость комплексного проекта в целом и по большинству статей расходов завышена</w:t>
            </w:r>
          </w:p>
        </w:tc>
        <w:tc>
          <w:tcPr>
            <w:tcW w:w="3100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A804F2" w:rsidTr="00483D84">
        <w:trPr>
          <w:trHeight w:val="317"/>
        </w:trPr>
        <w:tc>
          <w:tcPr>
            <w:tcW w:w="988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4" w:type="dxa"/>
            <w:vAlign w:val="center"/>
          </w:tcPr>
          <w:p w:rsidR="00483D84" w:rsidRPr="00A804F2" w:rsidRDefault="00483D84" w:rsidP="00A804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Стоимость расходов по отдельным статьям затрат завышена</w:t>
            </w:r>
          </w:p>
        </w:tc>
        <w:tc>
          <w:tcPr>
            <w:tcW w:w="3100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83D84" w:rsidRPr="00A804F2" w:rsidTr="00483D84">
        <w:trPr>
          <w:trHeight w:val="317"/>
        </w:trPr>
        <w:tc>
          <w:tcPr>
            <w:tcW w:w="988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4" w:type="dxa"/>
            <w:vAlign w:val="center"/>
          </w:tcPr>
          <w:p w:rsidR="00483D84" w:rsidRPr="00A804F2" w:rsidRDefault="00483D84" w:rsidP="00A804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Стоимость комплексного проекта в целом и стоимость расходов по всем статьям расходов не завышена и соответствует текущей практике выполнения схожих комплексных проектов</w:t>
            </w:r>
          </w:p>
        </w:tc>
        <w:tc>
          <w:tcPr>
            <w:tcW w:w="3100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9.4. По параметру «Соотношение выручка/субсидия» (СВС) оценка производится следующим образом.</w:t>
      </w:r>
    </w:p>
    <w:tbl>
      <w:tblPr>
        <w:tblStyle w:val="a3"/>
        <w:tblW w:w="10262" w:type="dxa"/>
        <w:tblLook w:val="04A0"/>
      </w:tblPr>
      <w:tblGrid>
        <w:gridCol w:w="988"/>
        <w:gridCol w:w="6174"/>
        <w:gridCol w:w="3100"/>
      </w:tblGrid>
      <w:tr w:rsidR="00483D84" w:rsidRPr="00A804F2" w:rsidTr="00483D84">
        <w:trPr>
          <w:trHeight w:val="476"/>
        </w:trPr>
        <w:tc>
          <w:tcPr>
            <w:tcW w:w="988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74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Значение параметра в соответствии с экспертным мнением члена рабочей группы</w:t>
            </w:r>
          </w:p>
        </w:tc>
        <w:tc>
          <w:tcPr>
            <w:tcW w:w="3100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Количество присваиваемых баллов (CВС)</w:t>
            </w:r>
          </w:p>
        </w:tc>
      </w:tr>
      <w:tr w:rsidR="00483D84" w:rsidRPr="00A804F2" w:rsidTr="00483D84">
        <w:trPr>
          <w:trHeight w:val="547"/>
        </w:trPr>
        <w:tc>
          <w:tcPr>
            <w:tcW w:w="988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4" w:type="dxa"/>
            <w:vAlign w:val="center"/>
          </w:tcPr>
          <w:p w:rsidR="00483D84" w:rsidRPr="00A804F2" w:rsidRDefault="00483D84" w:rsidP="00A804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Соотношение заявленного объема производства и реализации продукции к объему запрашиваемой субсидии составляет менее 3,2</w:t>
            </w:r>
          </w:p>
        </w:tc>
        <w:tc>
          <w:tcPr>
            <w:tcW w:w="3100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83D84" w:rsidRPr="00A804F2" w:rsidTr="00483D84">
        <w:trPr>
          <w:trHeight w:val="317"/>
        </w:trPr>
        <w:tc>
          <w:tcPr>
            <w:tcW w:w="988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4" w:type="dxa"/>
            <w:vAlign w:val="center"/>
          </w:tcPr>
          <w:p w:rsidR="00483D84" w:rsidRPr="00A804F2" w:rsidRDefault="00483D84" w:rsidP="00A804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Соотношение заявленного объема производства и реализации продукции к объему запрашиваемой субсидии составляет от 3,2 (включительно) до 4,0</w:t>
            </w:r>
          </w:p>
        </w:tc>
        <w:tc>
          <w:tcPr>
            <w:tcW w:w="3100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83D84" w:rsidRPr="00A804F2" w:rsidTr="00483D84">
        <w:trPr>
          <w:trHeight w:val="317"/>
        </w:trPr>
        <w:tc>
          <w:tcPr>
            <w:tcW w:w="988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4" w:type="dxa"/>
            <w:vAlign w:val="center"/>
          </w:tcPr>
          <w:p w:rsidR="00483D84" w:rsidRPr="00A804F2" w:rsidRDefault="00483D84" w:rsidP="00A804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Соотношение заявленного объема производства и реализации продукции к объему запрашиваемой субсидии составляет от 4,0 (включительно) до 5,0</w:t>
            </w:r>
          </w:p>
        </w:tc>
        <w:tc>
          <w:tcPr>
            <w:tcW w:w="3100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83D84" w:rsidRPr="00A804F2" w:rsidTr="00483D84">
        <w:trPr>
          <w:trHeight w:val="317"/>
        </w:trPr>
        <w:tc>
          <w:tcPr>
            <w:tcW w:w="988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4" w:type="dxa"/>
            <w:vAlign w:val="center"/>
          </w:tcPr>
          <w:p w:rsidR="00483D84" w:rsidRPr="00A804F2" w:rsidRDefault="00483D84" w:rsidP="00A804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заявленного объема производства и реализации продукции к объему запрашиваемой субсидии составляет от 5,0 (включительно) </w:t>
            </w:r>
          </w:p>
        </w:tc>
        <w:tc>
          <w:tcPr>
            <w:tcW w:w="3100" w:type="dxa"/>
          </w:tcPr>
          <w:p w:rsidR="00483D84" w:rsidRPr="00A804F2" w:rsidRDefault="00483D84" w:rsidP="00A804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9.5. Итоговая индивидуальная оценка эксперта рабочей группы «Финансовая обоснованность» (ФО) определяется как сумма баллов по указанным параметрам: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ФО=ИОП+СЗ+СКП+СВС</m:t>
          </m:r>
        </m:oMath>
      </m:oMathPara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9.6. Итоговая оценка комплексного проекта по критерию «Финансовая обоснованность» (ОФО) рассчитывается следующим образом:</w:t>
      </w:r>
    </w:p>
    <w:p w:rsidR="00A804F2" w:rsidRDefault="00510833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ФО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ФО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="00483D84" w:rsidRPr="00483D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3D84" w:rsidRPr="00483D84" w:rsidRDefault="00A804F2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3D84" w:rsidRPr="00483D8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D84">
        <w:rPr>
          <w:rFonts w:ascii="Times New Roman" w:hAnsi="Times New Roman" w:cs="Times New Roman"/>
          <w:sz w:val="28"/>
          <w:szCs w:val="28"/>
        </w:rPr>
        <w:t>ФОi</w:t>
      </w:r>
      <w:proofErr w:type="spellEnd"/>
      <w:r w:rsidRPr="00483D84">
        <w:rPr>
          <w:rFonts w:ascii="Times New Roman" w:hAnsi="Times New Roman" w:cs="Times New Roman"/>
          <w:sz w:val="28"/>
          <w:szCs w:val="28"/>
        </w:rPr>
        <w:t xml:space="preserve"> – индивидуальная оценка члена рабочей группы «Финансовая обоснованность», осуществляющего оценку комплексного проекта, определяемая в соответствии с пунктом 9.5</w:t>
      </w:r>
      <w:r w:rsidR="00A804F2">
        <w:rPr>
          <w:rFonts w:ascii="Times New Roman" w:hAnsi="Times New Roman" w:cs="Times New Roman"/>
          <w:sz w:val="28"/>
          <w:szCs w:val="28"/>
        </w:rPr>
        <w:t xml:space="preserve"> настоящей Методики</w:t>
      </w:r>
      <w:r w:rsidRPr="00483D84">
        <w:rPr>
          <w:rFonts w:ascii="Times New Roman" w:hAnsi="Times New Roman" w:cs="Times New Roman"/>
          <w:sz w:val="28"/>
          <w:szCs w:val="28"/>
        </w:rPr>
        <w:t>;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N - общее количество членов рабочей группы «Финансовая обоснованность», </w:t>
      </w:r>
      <w:r w:rsidRPr="00483D84">
        <w:rPr>
          <w:rFonts w:ascii="Times New Roman" w:hAnsi="Times New Roman" w:cs="Times New Roman"/>
          <w:sz w:val="28"/>
          <w:szCs w:val="28"/>
        </w:rPr>
        <w:lastRenderedPageBreak/>
        <w:t>осуществляющих оценку комплексного проекта (не менее 3 членов).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10. Индивидуальные оценки членов рабочих групп оформляются в виде экспертного заключения, подписыв</w:t>
      </w:r>
      <w:r w:rsidR="00686B5C">
        <w:rPr>
          <w:rFonts w:ascii="Times New Roman" w:hAnsi="Times New Roman" w:cs="Times New Roman"/>
          <w:sz w:val="28"/>
          <w:szCs w:val="28"/>
        </w:rPr>
        <w:t>аемого личной подписью эксперта</w:t>
      </w:r>
      <w:r w:rsidRPr="00483D84">
        <w:rPr>
          <w:rFonts w:ascii="Times New Roman" w:hAnsi="Times New Roman" w:cs="Times New Roman"/>
          <w:sz w:val="28"/>
          <w:szCs w:val="28"/>
        </w:rPr>
        <w:t xml:space="preserve">. Экспертное заключение должно содержать значения параметров оценки, присвоенное количество баллов для каждого параметра оценки, а также текстовое обоснование по каждому параметру оценки. Члены рабочих групп при рассмотрении комплексных проектов и формировании экспертного заключения вправе </w:t>
      </w:r>
      <w:r w:rsidR="00EC0547">
        <w:rPr>
          <w:rFonts w:ascii="Times New Roman" w:hAnsi="Times New Roman" w:cs="Times New Roman"/>
          <w:sz w:val="28"/>
          <w:szCs w:val="28"/>
        </w:rPr>
        <w:t>использовать</w:t>
      </w:r>
      <w:r w:rsidRPr="00483D84">
        <w:rPr>
          <w:rFonts w:ascii="Times New Roman" w:hAnsi="Times New Roman" w:cs="Times New Roman"/>
          <w:sz w:val="28"/>
          <w:szCs w:val="28"/>
        </w:rPr>
        <w:t xml:space="preserve"> </w:t>
      </w:r>
      <w:r w:rsidR="00EC0547">
        <w:rPr>
          <w:rFonts w:ascii="Times New Roman" w:hAnsi="Times New Roman" w:cs="Times New Roman"/>
          <w:sz w:val="28"/>
          <w:szCs w:val="28"/>
        </w:rPr>
        <w:t xml:space="preserve">данные, предоставленные </w:t>
      </w:r>
      <w:r w:rsidR="00BA2E25">
        <w:rPr>
          <w:rFonts w:ascii="Times New Roman" w:hAnsi="Times New Roman" w:cs="Times New Roman"/>
          <w:sz w:val="28"/>
          <w:szCs w:val="28"/>
        </w:rPr>
        <w:t>для участия в отборе в соответствии с пунктом 11 Правил</w:t>
      </w:r>
      <w:r w:rsidRPr="00483D84">
        <w:rPr>
          <w:rFonts w:ascii="Times New Roman" w:hAnsi="Times New Roman" w:cs="Times New Roman"/>
          <w:sz w:val="28"/>
          <w:szCs w:val="28"/>
        </w:rPr>
        <w:t xml:space="preserve">, а также внешние достоверные источники информации, научные статьи и публикации, </w:t>
      </w:r>
      <w:r w:rsidR="00561EBC">
        <w:rPr>
          <w:rFonts w:ascii="Times New Roman" w:hAnsi="Times New Roman" w:cs="Times New Roman"/>
          <w:sz w:val="28"/>
          <w:szCs w:val="28"/>
        </w:rPr>
        <w:t>в том числе в средствах массовой информации</w:t>
      </w:r>
      <w:r w:rsidRPr="00483D84">
        <w:rPr>
          <w:rFonts w:ascii="Times New Roman" w:hAnsi="Times New Roman" w:cs="Times New Roman"/>
          <w:sz w:val="28"/>
          <w:szCs w:val="28"/>
        </w:rPr>
        <w:t>, данные информационных агентств, маркетинговые исследования, открытые источники информации, а также личные знания и опыт в предметной сфере.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11. Комплексный проект считается допущенным к стадии очной презентации, если итоговая оценка комплексного проекта по каждому из четырех критериев </w:t>
      </w:r>
      <w:r w:rsidR="006F786B">
        <w:rPr>
          <w:rFonts w:ascii="Times New Roman" w:hAnsi="Times New Roman" w:cs="Times New Roman"/>
          <w:sz w:val="28"/>
          <w:szCs w:val="28"/>
        </w:rPr>
        <w:t>«рыночная перспективность», «</w:t>
      </w:r>
      <w:r w:rsidR="006F786B" w:rsidRPr="00483D84">
        <w:rPr>
          <w:rFonts w:ascii="Times New Roman" w:hAnsi="Times New Roman" w:cs="Times New Roman"/>
          <w:sz w:val="28"/>
          <w:szCs w:val="28"/>
        </w:rPr>
        <w:t>технологический суверенитет», «производственный потенциал», «финансово-экономическая эффективность»</w:t>
      </w:r>
      <w:r w:rsidR="006F786B">
        <w:rPr>
          <w:rFonts w:ascii="Times New Roman" w:hAnsi="Times New Roman" w:cs="Times New Roman"/>
          <w:sz w:val="28"/>
          <w:szCs w:val="28"/>
        </w:rPr>
        <w:t xml:space="preserve"> </w:t>
      </w:r>
      <w:r w:rsidRPr="00483D84">
        <w:rPr>
          <w:rFonts w:ascii="Times New Roman" w:hAnsi="Times New Roman" w:cs="Times New Roman"/>
          <w:sz w:val="28"/>
          <w:szCs w:val="28"/>
        </w:rPr>
        <w:t>превышает 50% от максимальной оценки по соответствующему критерию.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>12. Комплексные проекты, допущенные к стадии очной презентации, рассматриваются на заседаниях смешанных экспертных групп</w:t>
      </w:r>
      <w:r w:rsidR="00FD5839">
        <w:rPr>
          <w:rFonts w:ascii="Times New Roman" w:hAnsi="Times New Roman" w:cs="Times New Roman"/>
          <w:sz w:val="28"/>
          <w:szCs w:val="28"/>
        </w:rPr>
        <w:t>, состоящих из не менее</w:t>
      </w:r>
      <w:r w:rsidRPr="00483D84">
        <w:rPr>
          <w:rFonts w:ascii="Times New Roman" w:hAnsi="Times New Roman" w:cs="Times New Roman"/>
          <w:sz w:val="28"/>
          <w:szCs w:val="28"/>
        </w:rPr>
        <w:t xml:space="preserve"> чем 15 членов раб</w:t>
      </w:r>
      <w:r w:rsidR="00FD5839">
        <w:rPr>
          <w:rFonts w:ascii="Times New Roman" w:hAnsi="Times New Roman" w:cs="Times New Roman"/>
          <w:sz w:val="28"/>
          <w:szCs w:val="28"/>
        </w:rPr>
        <w:t xml:space="preserve">очих групп, при этом в каждой смешанной экспертной группе </w:t>
      </w:r>
      <w:r w:rsidRPr="00483D84">
        <w:rPr>
          <w:rFonts w:ascii="Times New Roman" w:hAnsi="Times New Roman" w:cs="Times New Roman"/>
          <w:sz w:val="28"/>
          <w:szCs w:val="28"/>
        </w:rPr>
        <w:t>должны присутствовать не менее двух представителей от каждой из четырех рабочих групп. Состав участников смешанных экспертных групп и перечень рассматриваемых комплексных проектов определяется коллегией экспертного совета Министерства.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13. Заседания смешанных экспертных групп проводятся </w:t>
      </w:r>
      <w:r w:rsidR="00AA69B2">
        <w:rPr>
          <w:rFonts w:ascii="Times New Roman" w:hAnsi="Times New Roman" w:cs="Times New Roman"/>
          <w:sz w:val="28"/>
          <w:szCs w:val="28"/>
        </w:rPr>
        <w:t>очно на территории Министерства. Д</w:t>
      </w:r>
      <w:r w:rsidRPr="00483D84">
        <w:rPr>
          <w:rFonts w:ascii="Times New Roman" w:hAnsi="Times New Roman" w:cs="Times New Roman"/>
          <w:sz w:val="28"/>
          <w:szCs w:val="28"/>
        </w:rPr>
        <w:t xml:space="preserve">опускается участие членов рабочих групп в формате </w:t>
      </w:r>
      <w:r w:rsidR="00AA69B2">
        <w:rPr>
          <w:rFonts w:ascii="Times New Roman" w:hAnsi="Times New Roman" w:cs="Times New Roman"/>
          <w:sz w:val="28"/>
          <w:szCs w:val="28"/>
        </w:rPr>
        <w:br/>
      </w:r>
      <w:r w:rsidR="00AA69B2" w:rsidRPr="00AA69B2">
        <w:rPr>
          <w:rFonts w:ascii="Times New Roman" w:hAnsi="Times New Roman" w:cs="Times New Roman"/>
          <w:sz w:val="28"/>
          <w:szCs w:val="28"/>
        </w:rPr>
        <w:t>видео-конференц-связи</w:t>
      </w:r>
      <w:r w:rsidR="00AA69B2">
        <w:rPr>
          <w:rFonts w:ascii="Times New Roman" w:hAnsi="Times New Roman" w:cs="Times New Roman"/>
          <w:sz w:val="28"/>
          <w:szCs w:val="28"/>
        </w:rPr>
        <w:t>.</w:t>
      </w:r>
      <w:r w:rsidRPr="00483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D84" w:rsidRPr="00483D84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14. Решение о прохождении комплексного проекта научно-технической оценки принимается открытым голосованием присутствующих участников </w:t>
      </w:r>
      <w:r w:rsidRPr="00483D84">
        <w:rPr>
          <w:rFonts w:ascii="Times New Roman" w:hAnsi="Times New Roman" w:cs="Times New Roman"/>
          <w:sz w:val="28"/>
          <w:szCs w:val="28"/>
        </w:rPr>
        <w:lastRenderedPageBreak/>
        <w:t>смешанной экспертной группы. При голосовании каждый участник смешанной экспертной группы имеет один голос, подавая его «за» или «против».</w:t>
      </w:r>
    </w:p>
    <w:p w:rsidR="00483D84" w:rsidRPr="00483D84" w:rsidRDefault="00D71399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проект признается</w:t>
      </w:r>
      <w:r w:rsidR="00483D84" w:rsidRPr="00483D84">
        <w:rPr>
          <w:rFonts w:ascii="Times New Roman" w:hAnsi="Times New Roman" w:cs="Times New Roman"/>
          <w:sz w:val="28"/>
          <w:szCs w:val="28"/>
        </w:rPr>
        <w:t xml:space="preserve"> прошедшим научно-техническую оценку, если доля голосов «за» превышает 2/3 (две трети) общего количества участников смешанной экспертной группы.</w:t>
      </w:r>
    </w:p>
    <w:p w:rsidR="00483D84" w:rsidRPr="001B0FF1" w:rsidRDefault="00483D84" w:rsidP="00483D8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83D84" w:rsidRPr="001B0FF1" w:rsidSect="009E6DD4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055" w:rsidRDefault="00821055" w:rsidP="00403F26">
      <w:r>
        <w:separator/>
      </w:r>
    </w:p>
  </w:endnote>
  <w:endnote w:type="continuationSeparator" w:id="0">
    <w:p w:rsidR="00821055" w:rsidRDefault="00821055" w:rsidP="00403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A6" w:rsidRDefault="00E05AA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A6" w:rsidRDefault="00E05AA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A6" w:rsidRDefault="00E05A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055" w:rsidRDefault="00821055" w:rsidP="00403F26">
      <w:r>
        <w:separator/>
      </w:r>
    </w:p>
  </w:footnote>
  <w:footnote w:type="continuationSeparator" w:id="0">
    <w:p w:rsidR="00821055" w:rsidRDefault="00821055" w:rsidP="00403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A6" w:rsidRDefault="00E05AA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26" w:rsidRPr="00E05AA6" w:rsidRDefault="00403F26" w:rsidP="00E05AA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A6" w:rsidRDefault="00E05A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4F4F"/>
    <w:multiLevelType w:val="hybridMultilevel"/>
    <w:tmpl w:val="3DB22BF4"/>
    <w:lvl w:ilvl="0" w:tplc="5A98CA94">
      <w:start w:val="1"/>
      <w:numFmt w:val="decimal"/>
      <w:suff w:val="space"/>
      <w:lvlText w:val="%1."/>
      <w:lvlJc w:val="left"/>
      <w:pPr>
        <w:ind w:left="642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B0FF1"/>
    <w:rsid w:val="00034E4F"/>
    <w:rsid w:val="00115D88"/>
    <w:rsid w:val="001257BB"/>
    <w:rsid w:val="001A4141"/>
    <w:rsid w:val="001B0FF1"/>
    <w:rsid w:val="001F5D62"/>
    <w:rsid w:val="002723F6"/>
    <w:rsid w:val="0028190C"/>
    <w:rsid w:val="002F7823"/>
    <w:rsid w:val="00403F26"/>
    <w:rsid w:val="004629E1"/>
    <w:rsid w:val="00483D84"/>
    <w:rsid w:val="00510833"/>
    <w:rsid w:val="00561EBC"/>
    <w:rsid w:val="00572D22"/>
    <w:rsid w:val="0059149C"/>
    <w:rsid w:val="00686967"/>
    <w:rsid w:val="00686B5C"/>
    <w:rsid w:val="0069395C"/>
    <w:rsid w:val="006F786B"/>
    <w:rsid w:val="00752D16"/>
    <w:rsid w:val="00821055"/>
    <w:rsid w:val="00831105"/>
    <w:rsid w:val="008915CC"/>
    <w:rsid w:val="008A715D"/>
    <w:rsid w:val="009E6DD4"/>
    <w:rsid w:val="00A13FE4"/>
    <w:rsid w:val="00A804F2"/>
    <w:rsid w:val="00AA69B2"/>
    <w:rsid w:val="00B869BB"/>
    <w:rsid w:val="00B90DD5"/>
    <w:rsid w:val="00BA2E25"/>
    <w:rsid w:val="00D16669"/>
    <w:rsid w:val="00D52FF5"/>
    <w:rsid w:val="00D71399"/>
    <w:rsid w:val="00D9154D"/>
    <w:rsid w:val="00E05AA6"/>
    <w:rsid w:val="00EA5FB7"/>
    <w:rsid w:val="00EC0547"/>
    <w:rsid w:val="00FD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F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0F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0F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483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F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03F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F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0961510403C565A87AE8EA0F8796C2D100C140BF65EF842E79536A1328446C46E9657DD8A865C1C4413903DgEH8N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B0961510403C565A87AE8EA0F8796C2A140C1B0DF15EF842E79536A1328446D66ECE5BDF889E59135145C17BBECBB65ED15E6867D0E853gEH2N" TargetMode="Externa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91B0961510403C565A87AE8EA0F8796C2A140C1B0DF15EF842E79536A1328446D66ECE5BDF889F5F1C5145C17BBECBB65ED15E6867D0E853gEH2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B0961510403C565A87AE8EA0F8796C2A140C1B0DF15EF842E79536A1328446D66ECE5BDF889E5A135145C17BBECBB65ED15E6867D0E853gEH2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1B0961510403C565A87AE8EA0F8796C2A150E1009F65EF842E79536A1328446D66ECE53D78D9C57400B55C532E9C4AA5CC7406279D0gEHBN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3751</Words>
  <Characters>21385</Characters>
  <Application>Microsoft Office Word</Application>
  <DocSecurity>0</DocSecurity>
  <Lines>178</Lines>
  <Paragraphs>50</Paragraphs>
  <ScaleCrop>false</ScaleCrop>
  <Company/>
  <LinksUpToDate>false</LinksUpToDate>
  <CharactersWithSpaces>25086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2023-08-22T14:57:00Z</dcterms:created>
  <dcterms:modified xsi:type="dcterms:W3CDTF">2023-08-22T14:58:00Z</dcterms:modified>
</cp:coreProperties>
</file>